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信丰县科学技术协会2023年度部门决算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信丰县科学技术协会概况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sz w:val="32"/>
          <w:szCs w:val="32"/>
        </w:rPr>
      </w:pPr>
      <w:r>
        <w:rPr>
          <w:rFonts w:hint="eastAsia" w:ascii="仿宋_GB2312" w:hAnsi="仿宋_GB2312" w:eastAsia="仿宋_GB2312" w:cs="Times New Roman"/>
          <w:sz w:val="32"/>
          <w:szCs w:val="30"/>
          <w:lang w:val="en-US" w:eastAsia="zh-CN"/>
        </w:rPr>
        <w:t>注：本报告因金额单位转换原因可能存在尾数误差。</w:t>
      </w:r>
    </w:p>
    <w:p>
      <w:pPr>
        <w:widowControl/>
        <w:spacing w:line="580" w:lineRule="exact"/>
        <w:jc w:val="center"/>
        <w:outlineLvl w:val="0"/>
        <w:rPr>
          <w:rFonts w:hint="eastAsia" w:ascii="宋体" w:hAnsi="宋体" w:cs="宋体"/>
          <w:b/>
          <w:sz w:val="44"/>
          <w:szCs w:val="44"/>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信丰县科学技术协会概况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1、负责对所属的县有关学会和科技类社会团体进行监督管理，对全县基层科协工作进行业务指导。</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2、组织开展学术交流，活跃学术思想，鼓励和支持原始性创新，促进学科发展，提高全县科技的持续创新能力。</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3、拟定科协系统科普工作计划，并组织实施，指导基层科协和相关科普机构、团体开展科普活动，动员社会各方面力量；普及科学技术知识。倡导科学方法、传播科学思想、弘扬科学精神，提高全县公众的科学文化素质。</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4、开展科学论证、决策咨询，提出政策建议；并参与制定全县科技政策、法规。</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5、密切联系广大科技工作者，了解和反映科技工作者的意见和要求，维护科技工作者的合法权益，全心全意为科技工作者服务。</w:t>
      </w:r>
    </w:p>
    <w:p>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6、开展科技工作者继续教育、培训工作，发现和举荐优秀科技人才，促进青年科技人才的成长，宣传优秀科技人员的业绩和事迹，表彰奖励优秀科技工作者。</w:t>
      </w:r>
    </w:p>
    <w:p>
      <w:pPr>
        <w:widowControl/>
        <w:shd w:val="clear" w:color="auto" w:fill="FFFFFF"/>
        <w:spacing w:before="225" w:after="225" w:line="520" w:lineRule="atLeast"/>
        <w:ind w:firstLine="64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7、完成县委、县政府和有关领导交办的其他工作。</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w:t>
            </w:r>
          </w:p>
        </w:tc>
        <w:tc>
          <w:tcPr>
            <w:tcW w:w="4769" w:type="dxa"/>
            <w:shd w:val="clear" w:color="auto" w:fill="auto"/>
            <w:noWrap w:val="0"/>
            <w:vAlign w:val="top"/>
          </w:tcPr>
          <w:p>
            <w:p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信丰县科学技术协会</w:t>
            </w:r>
          </w:p>
        </w:tc>
        <w:tc>
          <w:tcPr>
            <w:tcW w:w="2348" w:type="dxa"/>
            <w:shd w:val="clear" w:color="auto" w:fill="auto"/>
            <w:noWrap w:val="0"/>
            <w:vAlign w:val="top"/>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一级预算单位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信丰县科学技术协会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1  个内设机构，分别是：科协办公室</w:t>
      </w:r>
    </w:p>
    <w:p>
      <w:pPr>
        <w:ind w:firstLine="640" w:firstLineChars="200"/>
        <w:jc w:val="left"/>
        <w:rPr>
          <w:rFonts w:hint="eastAsia"/>
        </w:rPr>
      </w:pPr>
      <w:r>
        <w:rPr>
          <w:rFonts w:hint="eastAsia" w:ascii="仿宋_GB2312" w:hAnsi="仿宋_GB2312" w:eastAsia="仿宋_GB2312"/>
          <w:sz w:val="32"/>
          <w:szCs w:val="32"/>
        </w:rPr>
        <w:t>本部门年末在职人员5人，离退休人员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193.09</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pPr>
              <w:jc w:val="right"/>
            </w:pPr>
            <w:r>
              <w:rPr>
                <w:rFonts w:ascii="宋体" w:hAnsi="宋体" w:eastAsia="宋体" w:cs="宋体"/>
                <w:b w:val="0"/>
                <w:i w:val="0"/>
                <w:color w:val="000000"/>
                <w:sz w:val="14"/>
              </w:rPr>
              <w:t>165.89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47.24</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14.60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37.67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240.34</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230.77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9.57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240.34</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240.34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240.34</w:t>
            </w:r>
          </w:p>
        </w:tc>
        <w:tc>
          <w:tcPr>
            <w:tcW w:w="900" w:type="dxa"/>
            <w:vAlign w:val="center"/>
          </w:tcPr>
          <w:p>
            <w:pPr>
              <w:jc w:val="right"/>
            </w:pPr>
            <w:r>
              <w:rPr>
                <w:rFonts w:ascii="宋体" w:hAnsi="宋体" w:eastAsia="宋体" w:cs="宋体"/>
                <w:b w:val="0"/>
                <w:i w:val="0"/>
                <w:color w:val="000000"/>
                <w:sz w:val="9"/>
              </w:rPr>
              <w:t>193.09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47.24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w:t>
            </w:r>
          </w:p>
        </w:tc>
        <w:tc>
          <w:tcPr>
            <w:tcW w:w="1420" w:type="dxa"/>
            <w:vAlign w:val="center"/>
          </w:tcPr>
          <w:p>
            <w:pPr>
              <w:jc w:val="left"/>
            </w:pPr>
            <w:r>
              <w:rPr>
                <w:rFonts w:ascii="宋体" w:hAnsi="宋体" w:eastAsia="宋体" w:cs="宋体"/>
                <w:b w:val="0"/>
                <w:i w:val="0"/>
                <w:color w:val="000000"/>
                <w:sz w:val="9"/>
              </w:rPr>
              <w:t>科学技术支出</w:t>
            </w:r>
          </w:p>
        </w:tc>
        <w:tc>
          <w:tcPr>
            <w:tcW w:w="860" w:type="dxa"/>
            <w:vAlign w:val="center"/>
          </w:tcPr>
          <w:p>
            <w:pPr>
              <w:jc w:val="right"/>
            </w:pPr>
            <w:r>
              <w:rPr>
                <w:rFonts w:ascii="宋体" w:hAnsi="宋体" w:eastAsia="宋体" w:cs="宋体"/>
                <w:b w:val="0"/>
                <w:i w:val="0"/>
                <w:color w:val="000000"/>
                <w:sz w:val="9"/>
              </w:rPr>
              <w:t>165.89</w:t>
            </w:r>
          </w:p>
        </w:tc>
        <w:tc>
          <w:tcPr>
            <w:tcW w:w="900" w:type="dxa"/>
            <w:vAlign w:val="center"/>
          </w:tcPr>
          <w:p>
            <w:pPr>
              <w:jc w:val="right"/>
            </w:pPr>
            <w:r>
              <w:rPr>
                <w:rFonts w:ascii="宋体" w:hAnsi="宋体" w:eastAsia="宋体" w:cs="宋体"/>
                <w:b w:val="0"/>
                <w:i w:val="0"/>
                <w:color w:val="000000"/>
                <w:sz w:val="9"/>
              </w:rPr>
              <w:t>165.89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w:t>
            </w:r>
          </w:p>
        </w:tc>
        <w:tc>
          <w:tcPr>
            <w:tcW w:w="1420" w:type="dxa"/>
            <w:vAlign w:val="center"/>
          </w:tcPr>
          <w:p>
            <w:pPr>
              <w:jc w:val="left"/>
            </w:pPr>
            <w:r>
              <w:rPr>
                <w:rFonts w:ascii="宋体" w:hAnsi="宋体" w:eastAsia="宋体" w:cs="宋体"/>
                <w:b w:val="0"/>
                <w:i w:val="0"/>
                <w:color w:val="000000"/>
                <w:sz w:val="9"/>
              </w:rPr>
              <w:t>科学技术管理事务</w:t>
            </w:r>
          </w:p>
        </w:tc>
        <w:tc>
          <w:tcPr>
            <w:tcW w:w="860" w:type="dxa"/>
            <w:vAlign w:val="center"/>
          </w:tcPr>
          <w:p>
            <w:pPr>
              <w:jc w:val="right"/>
            </w:pPr>
            <w:r>
              <w:rPr>
                <w:rFonts w:ascii="宋体" w:hAnsi="宋体" w:eastAsia="宋体" w:cs="宋体"/>
                <w:b w:val="0"/>
                <w:i w:val="0"/>
                <w:color w:val="000000"/>
                <w:sz w:val="9"/>
              </w:rPr>
              <w:t>124.60</w:t>
            </w:r>
          </w:p>
        </w:tc>
        <w:tc>
          <w:tcPr>
            <w:tcW w:w="900" w:type="dxa"/>
            <w:vAlign w:val="center"/>
          </w:tcPr>
          <w:p>
            <w:pPr>
              <w:jc w:val="right"/>
            </w:pPr>
            <w:r>
              <w:rPr>
                <w:rFonts w:ascii="宋体" w:hAnsi="宋体" w:eastAsia="宋体" w:cs="宋体"/>
                <w:b w:val="0"/>
                <w:i w:val="0"/>
                <w:color w:val="000000"/>
                <w:sz w:val="9"/>
              </w:rPr>
              <w:t>124.60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67.20</w:t>
            </w:r>
          </w:p>
        </w:tc>
        <w:tc>
          <w:tcPr>
            <w:tcW w:w="900" w:type="dxa"/>
            <w:vAlign w:val="center"/>
          </w:tcPr>
          <w:p>
            <w:pPr>
              <w:jc w:val="right"/>
            </w:pPr>
            <w:r>
              <w:rPr>
                <w:rFonts w:ascii="宋体" w:hAnsi="宋体" w:eastAsia="宋体" w:cs="宋体"/>
                <w:b w:val="0"/>
                <w:i w:val="0"/>
                <w:color w:val="000000"/>
                <w:sz w:val="9"/>
              </w:rPr>
              <w:t>67.20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57.40</w:t>
            </w:r>
          </w:p>
        </w:tc>
        <w:tc>
          <w:tcPr>
            <w:tcW w:w="900" w:type="dxa"/>
            <w:vAlign w:val="center"/>
          </w:tcPr>
          <w:p>
            <w:pPr>
              <w:jc w:val="right"/>
            </w:pPr>
            <w:r>
              <w:rPr>
                <w:rFonts w:ascii="宋体" w:hAnsi="宋体" w:eastAsia="宋体" w:cs="宋体"/>
                <w:b w:val="0"/>
                <w:i w:val="0"/>
                <w:color w:val="000000"/>
                <w:sz w:val="9"/>
              </w:rPr>
              <w:t>57.40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20607</w:t>
            </w:r>
          </w:p>
        </w:tc>
        <w:tc>
          <w:tcPr>
            <w:tcW w:w="1420" w:type="dxa"/>
            <w:vAlign w:val="center"/>
          </w:tcPr>
          <w:p>
            <w:pPr>
              <w:jc w:val="left"/>
            </w:pPr>
            <w:r>
              <w:rPr>
                <w:rFonts w:ascii="宋体" w:hAnsi="宋体" w:eastAsia="宋体" w:cs="宋体"/>
                <w:b w:val="0"/>
                <w:i w:val="0"/>
                <w:color w:val="000000"/>
                <w:sz w:val="9"/>
              </w:rPr>
              <w:t>科学技术普及</w:t>
            </w:r>
          </w:p>
        </w:tc>
        <w:tc>
          <w:tcPr>
            <w:tcW w:w="860" w:type="dxa"/>
            <w:vAlign w:val="center"/>
          </w:tcPr>
          <w:p>
            <w:pPr>
              <w:jc w:val="right"/>
            </w:pPr>
            <w:r>
              <w:rPr>
                <w:rFonts w:ascii="宋体" w:hAnsi="宋体" w:eastAsia="宋体" w:cs="宋体"/>
                <w:b w:val="0"/>
                <w:i w:val="0"/>
                <w:color w:val="000000"/>
                <w:sz w:val="9"/>
              </w:rPr>
              <w:t>41.29</w:t>
            </w:r>
          </w:p>
        </w:tc>
        <w:tc>
          <w:tcPr>
            <w:tcW w:w="900" w:type="dxa"/>
            <w:vAlign w:val="center"/>
          </w:tcPr>
          <w:p>
            <w:pPr>
              <w:jc w:val="right"/>
            </w:pPr>
            <w:r>
              <w:rPr>
                <w:rFonts w:ascii="宋体" w:hAnsi="宋体" w:eastAsia="宋体" w:cs="宋体"/>
                <w:b w:val="0"/>
                <w:i w:val="0"/>
                <w:color w:val="000000"/>
                <w:sz w:val="9"/>
              </w:rPr>
              <w:t>41.29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2060702</w:t>
            </w:r>
          </w:p>
        </w:tc>
        <w:tc>
          <w:tcPr>
            <w:tcW w:w="1420" w:type="dxa"/>
            <w:vAlign w:val="center"/>
          </w:tcPr>
          <w:p>
            <w:pPr>
              <w:jc w:val="left"/>
            </w:pPr>
            <w:r>
              <w:rPr>
                <w:rFonts w:ascii="宋体" w:hAnsi="宋体" w:eastAsia="宋体" w:cs="宋体"/>
                <w:b w:val="0"/>
                <w:i w:val="0"/>
                <w:color w:val="000000"/>
                <w:sz w:val="9"/>
              </w:rPr>
              <w:t>科普活动</w:t>
            </w:r>
          </w:p>
        </w:tc>
        <w:tc>
          <w:tcPr>
            <w:tcW w:w="860" w:type="dxa"/>
            <w:vAlign w:val="center"/>
          </w:tcPr>
          <w:p>
            <w:pPr>
              <w:jc w:val="right"/>
            </w:pPr>
            <w:r>
              <w:rPr>
                <w:rFonts w:ascii="宋体" w:hAnsi="宋体" w:eastAsia="宋体" w:cs="宋体"/>
                <w:b w:val="0"/>
                <w:i w:val="0"/>
                <w:color w:val="000000"/>
                <w:sz w:val="9"/>
              </w:rPr>
              <w:t>41.09</w:t>
            </w:r>
          </w:p>
        </w:tc>
        <w:tc>
          <w:tcPr>
            <w:tcW w:w="900" w:type="dxa"/>
            <w:vAlign w:val="center"/>
          </w:tcPr>
          <w:p>
            <w:pPr>
              <w:jc w:val="right"/>
            </w:pPr>
            <w:r>
              <w:rPr>
                <w:rFonts w:ascii="宋体" w:hAnsi="宋体" w:eastAsia="宋体" w:cs="宋体"/>
                <w:b w:val="0"/>
                <w:i w:val="0"/>
                <w:color w:val="000000"/>
                <w:sz w:val="9"/>
              </w:rPr>
              <w:t>41.09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2060799</w:t>
            </w:r>
          </w:p>
        </w:tc>
        <w:tc>
          <w:tcPr>
            <w:tcW w:w="1420" w:type="dxa"/>
            <w:vAlign w:val="center"/>
          </w:tcPr>
          <w:p>
            <w:pPr>
              <w:jc w:val="left"/>
            </w:pPr>
            <w:r>
              <w:rPr>
                <w:rFonts w:ascii="宋体" w:hAnsi="宋体" w:eastAsia="宋体" w:cs="宋体"/>
                <w:b w:val="0"/>
                <w:i w:val="0"/>
                <w:color w:val="000000"/>
                <w:sz w:val="9"/>
              </w:rPr>
              <w:t>其他科学技术普及支出</w:t>
            </w:r>
          </w:p>
        </w:tc>
        <w:tc>
          <w:tcPr>
            <w:tcW w:w="860" w:type="dxa"/>
            <w:vAlign w:val="center"/>
          </w:tcPr>
          <w:p>
            <w:pPr>
              <w:jc w:val="right"/>
            </w:pPr>
            <w:r>
              <w:rPr>
                <w:rFonts w:ascii="宋体" w:hAnsi="宋体" w:eastAsia="宋体" w:cs="宋体"/>
                <w:b w:val="0"/>
                <w:i w:val="0"/>
                <w:color w:val="000000"/>
                <w:sz w:val="9"/>
              </w:rPr>
              <w:t>0.20</w:t>
            </w:r>
          </w:p>
        </w:tc>
        <w:tc>
          <w:tcPr>
            <w:tcW w:w="900" w:type="dxa"/>
            <w:vAlign w:val="center"/>
          </w:tcPr>
          <w:p>
            <w:pPr>
              <w:jc w:val="right"/>
            </w:pPr>
            <w:r>
              <w:rPr>
                <w:rFonts w:ascii="宋体" w:hAnsi="宋体" w:eastAsia="宋体" w:cs="宋体"/>
                <w:b w:val="0"/>
                <w:i w:val="0"/>
                <w:color w:val="000000"/>
                <w:sz w:val="9"/>
              </w:rPr>
              <w:t>0.20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14.60</w:t>
            </w:r>
          </w:p>
        </w:tc>
        <w:tc>
          <w:tcPr>
            <w:tcW w:w="900" w:type="dxa"/>
            <w:vAlign w:val="center"/>
          </w:tcPr>
          <w:p>
            <w:pPr>
              <w:jc w:val="right"/>
            </w:pPr>
            <w:r>
              <w:rPr>
                <w:rFonts w:ascii="宋体" w:hAnsi="宋体" w:eastAsia="宋体" w:cs="宋体"/>
                <w:b w:val="0"/>
                <w:i w:val="0"/>
                <w:color w:val="000000"/>
                <w:sz w:val="9"/>
              </w:rPr>
              <w:t>14.60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14.57</w:t>
            </w:r>
          </w:p>
        </w:tc>
        <w:tc>
          <w:tcPr>
            <w:tcW w:w="900" w:type="dxa"/>
            <w:vAlign w:val="center"/>
          </w:tcPr>
          <w:p>
            <w:pPr>
              <w:jc w:val="right"/>
            </w:pPr>
            <w:r>
              <w:rPr>
                <w:rFonts w:ascii="宋体" w:hAnsi="宋体" w:eastAsia="宋体" w:cs="宋体"/>
                <w:b w:val="0"/>
                <w:i w:val="0"/>
                <w:color w:val="000000"/>
                <w:sz w:val="9"/>
              </w:rPr>
              <w:t>14.57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2080501</w:t>
            </w:r>
          </w:p>
        </w:tc>
        <w:tc>
          <w:tcPr>
            <w:tcW w:w="1420" w:type="dxa"/>
            <w:vAlign w:val="center"/>
          </w:tcPr>
          <w:p>
            <w:pPr>
              <w:jc w:val="left"/>
            </w:pPr>
            <w:r>
              <w:rPr>
                <w:rFonts w:ascii="宋体" w:hAnsi="宋体" w:eastAsia="宋体" w:cs="宋体"/>
                <w:b w:val="0"/>
                <w:i w:val="0"/>
                <w:color w:val="000000"/>
                <w:sz w:val="9"/>
              </w:rPr>
              <w:t>行政单位离退休</w:t>
            </w:r>
          </w:p>
        </w:tc>
        <w:tc>
          <w:tcPr>
            <w:tcW w:w="860" w:type="dxa"/>
            <w:vAlign w:val="center"/>
          </w:tcPr>
          <w:p>
            <w:pPr>
              <w:jc w:val="right"/>
            </w:pPr>
            <w:r>
              <w:rPr>
                <w:rFonts w:ascii="宋体" w:hAnsi="宋体" w:eastAsia="宋体" w:cs="宋体"/>
                <w:b w:val="0"/>
                <w:i w:val="0"/>
                <w:color w:val="000000"/>
                <w:sz w:val="9"/>
              </w:rPr>
              <w:t>0.75</w:t>
            </w:r>
          </w:p>
        </w:tc>
        <w:tc>
          <w:tcPr>
            <w:tcW w:w="900" w:type="dxa"/>
            <w:vAlign w:val="center"/>
          </w:tcPr>
          <w:p>
            <w:pPr>
              <w:jc w:val="right"/>
            </w:pPr>
            <w:r>
              <w:rPr>
                <w:rFonts w:ascii="宋体" w:hAnsi="宋体" w:eastAsia="宋体" w:cs="宋体"/>
                <w:b w:val="0"/>
                <w:i w:val="0"/>
                <w:color w:val="000000"/>
                <w:sz w:val="9"/>
              </w:rPr>
              <w:t>0.75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7.53</w:t>
            </w:r>
          </w:p>
        </w:tc>
        <w:tc>
          <w:tcPr>
            <w:tcW w:w="900" w:type="dxa"/>
            <w:vAlign w:val="center"/>
          </w:tcPr>
          <w:p>
            <w:pPr>
              <w:jc w:val="right"/>
            </w:pPr>
            <w:r>
              <w:rPr>
                <w:rFonts w:ascii="宋体" w:hAnsi="宋体" w:eastAsia="宋体" w:cs="宋体"/>
                <w:b w:val="0"/>
                <w:i w:val="0"/>
                <w:color w:val="000000"/>
                <w:sz w:val="9"/>
              </w:rPr>
              <w:t>7.53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6.29</w:t>
            </w:r>
          </w:p>
        </w:tc>
        <w:tc>
          <w:tcPr>
            <w:tcW w:w="900" w:type="dxa"/>
            <w:vAlign w:val="center"/>
          </w:tcPr>
          <w:p>
            <w:pPr>
              <w:jc w:val="right"/>
            </w:pPr>
            <w:r>
              <w:rPr>
                <w:rFonts w:ascii="宋体" w:hAnsi="宋体" w:eastAsia="宋体" w:cs="宋体"/>
                <w:b w:val="0"/>
                <w:i w:val="0"/>
                <w:color w:val="000000"/>
                <w:sz w:val="9"/>
              </w:rPr>
              <w:t>6.29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0.03</w:t>
            </w:r>
          </w:p>
        </w:tc>
        <w:tc>
          <w:tcPr>
            <w:tcW w:w="900" w:type="dxa"/>
            <w:vAlign w:val="center"/>
          </w:tcPr>
          <w:p>
            <w:pPr>
              <w:jc w:val="right"/>
            </w:pPr>
            <w:r>
              <w:rPr>
                <w:rFonts w:ascii="宋体" w:hAnsi="宋体" w:eastAsia="宋体" w:cs="宋体"/>
                <w:b w:val="0"/>
                <w:i w:val="0"/>
                <w:color w:val="000000"/>
                <w:sz w:val="9"/>
              </w:rPr>
              <w:t>0.03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0.03</w:t>
            </w:r>
          </w:p>
        </w:tc>
        <w:tc>
          <w:tcPr>
            <w:tcW w:w="900" w:type="dxa"/>
            <w:vAlign w:val="center"/>
          </w:tcPr>
          <w:p>
            <w:pPr>
              <w:jc w:val="right"/>
            </w:pPr>
            <w:r>
              <w:rPr>
                <w:rFonts w:ascii="宋体" w:hAnsi="宋体" w:eastAsia="宋体" w:cs="宋体"/>
                <w:b w:val="0"/>
                <w:i w:val="0"/>
                <w:color w:val="000000"/>
                <w:sz w:val="9"/>
              </w:rPr>
              <w:t>0.03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4.62</w:t>
            </w:r>
          </w:p>
        </w:tc>
        <w:tc>
          <w:tcPr>
            <w:tcW w:w="900" w:type="dxa"/>
            <w:vAlign w:val="center"/>
          </w:tcPr>
          <w:p>
            <w:pPr>
              <w:jc w:val="right"/>
            </w:pPr>
            <w:r>
              <w:rPr>
                <w:rFonts w:ascii="宋体" w:hAnsi="宋体" w:eastAsia="宋体" w:cs="宋体"/>
                <w:b w:val="0"/>
                <w:i w:val="0"/>
                <w:color w:val="000000"/>
                <w:sz w:val="9"/>
              </w:rPr>
              <w:t>4.62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4.62</w:t>
            </w:r>
          </w:p>
        </w:tc>
        <w:tc>
          <w:tcPr>
            <w:tcW w:w="900" w:type="dxa"/>
            <w:vAlign w:val="center"/>
          </w:tcPr>
          <w:p>
            <w:pPr>
              <w:jc w:val="right"/>
            </w:pPr>
            <w:r>
              <w:rPr>
                <w:rFonts w:ascii="宋体" w:hAnsi="宋体" w:eastAsia="宋体" w:cs="宋体"/>
                <w:b w:val="0"/>
                <w:i w:val="0"/>
                <w:color w:val="000000"/>
                <w:sz w:val="9"/>
              </w:rPr>
              <w:t>4.62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3.72</w:t>
            </w:r>
          </w:p>
        </w:tc>
        <w:tc>
          <w:tcPr>
            <w:tcW w:w="900" w:type="dxa"/>
            <w:vAlign w:val="center"/>
          </w:tcPr>
          <w:p>
            <w:pPr>
              <w:jc w:val="right"/>
            </w:pPr>
            <w:r>
              <w:rPr>
                <w:rFonts w:ascii="宋体" w:hAnsi="宋体" w:eastAsia="宋体" w:cs="宋体"/>
                <w:b w:val="0"/>
                <w:i w:val="0"/>
                <w:color w:val="000000"/>
                <w:sz w:val="9"/>
              </w:rPr>
              <w:t>3.72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0.90</w:t>
            </w:r>
          </w:p>
        </w:tc>
        <w:tc>
          <w:tcPr>
            <w:tcW w:w="900" w:type="dxa"/>
            <w:vAlign w:val="center"/>
          </w:tcPr>
          <w:p>
            <w:pPr>
              <w:jc w:val="right"/>
            </w:pPr>
            <w:r>
              <w:rPr>
                <w:rFonts w:ascii="宋体" w:hAnsi="宋体" w:eastAsia="宋体" w:cs="宋体"/>
                <w:b w:val="0"/>
                <w:i w:val="0"/>
                <w:color w:val="000000"/>
                <w:sz w:val="9"/>
              </w:rPr>
              <w:t>0.90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7.99</w:t>
            </w:r>
          </w:p>
        </w:tc>
        <w:tc>
          <w:tcPr>
            <w:tcW w:w="900" w:type="dxa"/>
            <w:vAlign w:val="center"/>
          </w:tcPr>
          <w:p>
            <w:pPr>
              <w:jc w:val="right"/>
            </w:pPr>
            <w:r>
              <w:rPr>
                <w:rFonts w:ascii="宋体" w:hAnsi="宋体" w:eastAsia="宋体" w:cs="宋体"/>
                <w:b w:val="0"/>
                <w:i w:val="0"/>
                <w:color w:val="000000"/>
                <w:sz w:val="9"/>
              </w:rPr>
              <w:t>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7.99</w:t>
            </w:r>
          </w:p>
        </w:tc>
        <w:tc>
          <w:tcPr>
            <w:tcW w:w="900" w:type="dxa"/>
            <w:vAlign w:val="center"/>
          </w:tcPr>
          <w:p>
            <w:pPr>
              <w:jc w:val="right"/>
            </w:pPr>
            <w:r>
              <w:rPr>
                <w:rFonts w:ascii="宋体" w:hAnsi="宋体" w:eastAsia="宋体" w:cs="宋体"/>
                <w:b w:val="0"/>
                <w:i w:val="0"/>
                <w:color w:val="000000"/>
                <w:sz w:val="9"/>
              </w:rPr>
              <w:t>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7.99</w:t>
            </w:r>
          </w:p>
        </w:tc>
        <w:tc>
          <w:tcPr>
            <w:tcW w:w="900" w:type="dxa"/>
            <w:vAlign w:val="center"/>
          </w:tcPr>
          <w:p>
            <w:pPr>
              <w:jc w:val="right"/>
            </w:pPr>
            <w:r>
              <w:rPr>
                <w:rFonts w:ascii="宋体" w:hAnsi="宋体" w:eastAsia="宋体" w:cs="宋体"/>
                <w:b w:val="0"/>
                <w:i w:val="0"/>
                <w:color w:val="000000"/>
                <w:sz w:val="9"/>
              </w:rPr>
              <w:t>7.99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47.24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47.24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47.24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47.24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47.24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47.24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230.77</w:t>
            </w:r>
          </w:p>
        </w:tc>
        <w:tc>
          <w:tcPr>
            <w:tcW w:w="1000" w:type="dxa"/>
            <w:vAlign w:val="center"/>
          </w:tcPr>
          <w:p>
            <w:pPr>
              <w:jc w:val="right"/>
            </w:pPr>
            <w:r>
              <w:rPr>
                <w:rFonts w:ascii="宋体" w:hAnsi="宋体" w:eastAsia="宋体" w:cs="宋体"/>
                <w:b w:val="0"/>
                <w:i w:val="0"/>
                <w:color w:val="000000"/>
                <w:sz w:val="11"/>
              </w:rPr>
              <w:t>79.88</w:t>
            </w:r>
          </w:p>
        </w:tc>
        <w:tc>
          <w:tcPr>
            <w:tcW w:w="980" w:type="dxa"/>
            <w:vAlign w:val="center"/>
          </w:tcPr>
          <w:p>
            <w:pPr>
              <w:jc w:val="right"/>
            </w:pPr>
            <w:r>
              <w:rPr>
                <w:rFonts w:ascii="宋体" w:hAnsi="宋体" w:eastAsia="宋体" w:cs="宋体"/>
                <w:b w:val="0"/>
                <w:i w:val="0"/>
                <w:color w:val="000000"/>
                <w:sz w:val="11"/>
              </w:rPr>
              <w:t>150.89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w:t>
            </w:r>
          </w:p>
        </w:tc>
        <w:tc>
          <w:tcPr>
            <w:tcW w:w="1760" w:type="dxa"/>
            <w:vAlign w:val="center"/>
          </w:tcPr>
          <w:p>
            <w:pPr>
              <w:jc w:val="left"/>
            </w:pPr>
            <w:r>
              <w:rPr>
                <w:rFonts w:ascii="宋体" w:hAnsi="宋体" w:eastAsia="宋体" w:cs="宋体"/>
                <w:b w:val="0"/>
                <w:i w:val="0"/>
                <w:color w:val="000000"/>
                <w:sz w:val="11"/>
              </w:rPr>
              <w:t>科学技术支出</w:t>
            </w:r>
          </w:p>
        </w:tc>
        <w:tc>
          <w:tcPr>
            <w:tcW w:w="940" w:type="dxa"/>
            <w:vAlign w:val="center"/>
          </w:tcPr>
          <w:p>
            <w:pPr>
              <w:jc w:val="right"/>
            </w:pPr>
            <w:r>
              <w:rPr>
                <w:rFonts w:ascii="宋体" w:hAnsi="宋体" w:eastAsia="宋体" w:cs="宋体"/>
                <w:b w:val="0"/>
                <w:i w:val="0"/>
                <w:color w:val="000000"/>
                <w:sz w:val="11"/>
              </w:rPr>
              <w:t>165.89</w:t>
            </w:r>
          </w:p>
        </w:tc>
        <w:tc>
          <w:tcPr>
            <w:tcW w:w="1000" w:type="dxa"/>
            <w:vAlign w:val="center"/>
          </w:tcPr>
          <w:p>
            <w:pPr>
              <w:jc w:val="right"/>
            </w:pPr>
            <w:r>
              <w:rPr>
                <w:rFonts w:ascii="宋体" w:hAnsi="宋体" w:eastAsia="宋体" w:cs="宋体"/>
                <w:b w:val="0"/>
                <w:i w:val="0"/>
                <w:color w:val="000000"/>
                <w:sz w:val="11"/>
              </w:rPr>
              <w:t>59.86</w:t>
            </w:r>
          </w:p>
        </w:tc>
        <w:tc>
          <w:tcPr>
            <w:tcW w:w="980" w:type="dxa"/>
            <w:vAlign w:val="center"/>
          </w:tcPr>
          <w:p>
            <w:pPr>
              <w:jc w:val="right"/>
            </w:pPr>
            <w:r>
              <w:rPr>
                <w:rFonts w:ascii="宋体" w:hAnsi="宋体" w:eastAsia="宋体" w:cs="宋体"/>
                <w:b w:val="0"/>
                <w:i w:val="0"/>
                <w:color w:val="000000"/>
                <w:sz w:val="11"/>
              </w:rPr>
              <w:t>106.03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w:t>
            </w:r>
          </w:p>
        </w:tc>
        <w:tc>
          <w:tcPr>
            <w:tcW w:w="1760" w:type="dxa"/>
            <w:vAlign w:val="center"/>
          </w:tcPr>
          <w:p>
            <w:pPr>
              <w:jc w:val="left"/>
            </w:pPr>
            <w:r>
              <w:rPr>
                <w:rFonts w:ascii="宋体" w:hAnsi="宋体" w:eastAsia="宋体" w:cs="宋体"/>
                <w:b w:val="0"/>
                <w:i w:val="0"/>
                <w:color w:val="000000"/>
                <w:sz w:val="11"/>
              </w:rPr>
              <w:t>科学技术管理事务</w:t>
            </w:r>
          </w:p>
        </w:tc>
        <w:tc>
          <w:tcPr>
            <w:tcW w:w="940" w:type="dxa"/>
            <w:vAlign w:val="center"/>
          </w:tcPr>
          <w:p>
            <w:pPr>
              <w:jc w:val="right"/>
            </w:pPr>
            <w:r>
              <w:rPr>
                <w:rFonts w:ascii="宋体" w:hAnsi="宋体" w:eastAsia="宋体" w:cs="宋体"/>
                <w:b w:val="0"/>
                <w:i w:val="0"/>
                <w:color w:val="000000"/>
                <w:sz w:val="11"/>
              </w:rPr>
              <w:t>124.60</w:t>
            </w:r>
          </w:p>
        </w:tc>
        <w:tc>
          <w:tcPr>
            <w:tcW w:w="1000" w:type="dxa"/>
            <w:vAlign w:val="center"/>
          </w:tcPr>
          <w:p>
            <w:pPr>
              <w:jc w:val="right"/>
            </w:pPr>
            <w:r>
              <w:rPr>
                <w:rFonts w:ascii="宋体" w:hAnsi="宋体" w:eastAsia="宋体" w:cs="宋体"/>
                <w:b w:val="0"/>
                <w:i w:val="0"/>
                <w:color w:val="000000"/>
                <w:sz w:val="11"/>
              </w:rPr>
              <w:t>59.86</w:t>
            </w:r>
          </w:p>
        </w:tc>
        <w:tc>
          <w:tcPr>
            <w:tcW w:w="980" w:type="dxa"/>
            <w:vAlign w:val="center"/>
          </w:tcPr>
          <w:p>
            <w:pPr>
              <w:jc w:val="right"/>
            </w:pPr>
            <w:r>
              <w:rPr>
                <w:rFonts w:ascii="宋体" w:hAnsi="宋体" w:eastAsia="宋体" w:cs="宋体"/>
                <w:b w:val="0"/>
                <w:i w:val="0"/>
                <w:color w:val="000000"/>
                <w:sz w:val="11"/>
              </w:rPr>
              <w:t>64.74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67.20</w:t>
            </w:r>
          </w:p>
        </w:tc>
        <w:tc>
          <w:tcPr>
            <w:tcW w:w="1000" w:type="dxa"/>
            <w:vAlign w:val="center"/>
          </w:tcPr>
          <w:p>
            <w:pPr>
              <w:jc w:val="right"/>
            </w:pPr>
            <w:r>
              <w:rPr>
                <w:rFonts w:ascii="宋体" w:hAnsi="宋体" w:eastAsia="宋体" w:cs="宋体"/>
                <w:b w:val="0"/>
                <w:i w:val="0"/>
                <w:color w:val="000000"/>
                <w:sz w:val="11"/>
              </w:rPr>
              <w:t>59.86</w:t>
            </w:r>
          </w:p>
        </w:tc>
        <w:tc>
          <w:tcPr>
            <w:tcW w:w="980" w:type="dxa"/>
            <w:vAlign w:val="center"/>
          </w:tcPr>
          <w:p>
            <w:pPr>
              <w:jc w:val="right"/>
            </w:pPr>
            <w:r>
              <w:rPr>
                <w:rFonts w:ascii="宋体" w:hAnsi="宋体" w:eastAsia="宋体" w:cs="宋体"/>
                <w:b w:val="0"/>
                <w:i w:val="0"/>
                <w:color w:val="000000"/>
                <w:sz w:val="11"/>
              </w:rPr>
              <w:t>7.34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57.40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20607</w:t>
            </w:r>
          </w:p>
        </w:tc>
        <w:tc>
          <w:tcPr>
            <w:tcW w:w="1760" w:type="dxa"/>
            <w:vAlign w:val="center"/>
          </w:tcPr>
          <w:p>
            <w:pPr>
              <w:jc w:val="left"/>
            </w:pPr>
            <w:r>
              <w:rPr>
                <w:rFonts w:ascii="宋体" w:hAnsi="宋体" w:eastAsia="宋体" w:cs="宋体"/>
                <w:b w:val="0"/>
                <w:i w:val="0"/>
                <w:color w:val="000000"/>
                <w:sz w:val="11"/>
              </w:rPr>
              <w:t>科学技术普及</w:t>
            </w:r>
          </w:p>
        </w:tc>
        <w:tc>
          <w:tcPr>
            <w:tcW w:w="940" w:type="dxa"/>
            <w:vAlign w:val="center"/>
          </w:tcPr>
          <w:p>
            <w:pPr>
              <w:jc w:val="right"/>
            </w:pPr>
            <w:r>
              <w:rPr>
                <w:rFonts w:ascii="宋体" w:hAnsi="宋体" w:eastAsia="宋体" w:cs="宋体"/>
                <w:b w:val="0"/>
                <w:i w:val="0"/>
                <w:color w:val="000000"/>
                <w:sz w:val="11"/>
              </w:rPr>
              <w:t>41.29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2060702</w:t>
            </w:r>
          </w:p>
        </w:tc>
        <w:tc>
          <w:tcPr>
            <w:tcW w:w="1760" w:type="dxa"/>
            <w:vAlign w:val="center"/>
          </w:tcPr>
          <w:p>
            <w:pPr>
              <w:jc w:val="left"/>
            </w:pPr>
            <w:r>
              <w:rPr>
                <w:rFonts w:ascii="宋体" w:hAnsi="宋体" w:eastAsia="宋体" w:cs="宋体"/>
                <w:b w:val="0"/>
                <w:i w:val="0"/>
                <w:color w:val="000000"/>
                <w:sz w:val="11"/>
              </w:rPr>
              <w:t>科普活动</w:t>
            </w:r>
          </w:p>
        </w:tc>
        <w:tc>
          <w:tcPr>
            <w:tcW w:w="940" w:type="dxa"/>
            <w:vAlign w:val="center"/>
          </w:tcPr>
          <w:p>
            <w:pPr>
              <w:jc w:val="right"/>
            </w:pPr>
            <w:r>
              <w:rPr>
                <w:rFonts w:ascii="宋体" w:hAnsi="宋体" w:eastAsia="宋体" w:cs="宋体"/>
                <w:b w:val="0"/>
                <w:i w:val="0"/>
                <w:color w:val="000000"/>
                <w:sz w:val="11"/>
              </w:rPr>
              <w:t>41.09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41.09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2060799</w:t>
            </w:r>
          </w:p>
        </w:tc>
        <w:tc>
          <w:tcPr>
            <w:tcW w:w="1760" w:type="dxa"/>
            <w:vAlign w:val="center"/>
          </w:tcPr>
          <w:p>
            <w:pPr>
              <w:jc w:val="left"/>
            </w:pPr>
            <w:r>
              <w:rPr>
                <w:rFonts w:ascii="宋体" w:hAnsi="宋体" w:eastAsia="宋体" w:cs="宋体"/>
                <w:b w:val="0"/>
                <w:i w:val="0"/>
                <w:color w:val="000000"/>
                <w:sz w:val="11"/>
              </w:rPr>
              <w:t>其他科学技术普及支出</w:t>
            </w:r>
          </w:p>
        </w:tc>
        <w:tc>
          <w:tcPr>
            <w:tcW w:w="940" w:type="dxa"/>
            <w:vAlign w:val="center"/>
          </w:tcPr>
          <w:p>
            <w:pPr>
              <w:jc w:val="right"/>
            </w:pPr>
            <w:r>
              <w:rPr>
                <w:rFonts w:ascii="宋体" w:hAnsi="宋体" w:eastAsia="宋体" w:cs="宋体"/>
                <w:b w:val="0"/>
                <w:i w:val="0"/>
                <w:color w:val="000000"/>
                <w:sz w:val="11"/>
              </w:rPr>
              <w:t>0.20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14.60</w:t>
            </w:r>
          </w:p>
        </w:tc>
        <w:tc>
          <w:tcPr>
            <w:tcW w:w="1000" w:type="dxa"/>
            <w:vAlign w:val="center"/>
          </w:tcPr>
          <w:p>
            <w:pPr>
              <w:jc w:val="right"/>
            </w:pPr>
            <w:r>
              <w:rPr>
                <w:rFonts w:ascii="宋体" w:hAnsi="宋体" w:eastAsia="宋体" w:cs="宋体"/>
                <w:b w:val="0"/>
                <w:i w:val="0"/>
                <w:color w:val="000000"/>
                <w:sz w:val="11"/>
              </w:rPr>
              <w:t>8.31</w:t>
            </w:r>
          </w:p>
        </w:tc>
        <w:tc>
          <w:tcPr>
            <w:tcW w:w="980" w:type="dxa"/>
            <w:vAlign w:val="center"/>
          </w:tcPr>
          <w:p>
            <w:pPr>
              <w:jc w:val="right"/>
            </w:pPr>
            <w:r>
              <w:rPr>
                <w:rFonts w:ascii="宋体" w:hAnsi="宋体" w:eastAsia="宋体" w:cs="宋体"/>
                <w:b w:val="0"/>
                <w:i w:val="0"/>
                <w:color w:val="000000"/>
                <w:sz w:val="11"/>
              </w:rPr>
              <w:t>6.29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14.57</w:t>
            </w:r>
          </w:p>
        </w:tc>
        <w:tc>
          <w:tcPr>
            <w:tcW w:w="1000" w:type="dxa"/>
            <w:vAlign w:val="center"/>
          </w:tcPr>
          <w:p>
            <w:pPr>
              <w:jc w:val="right"/>
            </w:pPr>
            <w:r>
              <w:rPr>
                <w:rFonts w:ascii="宋体" w:hAnsi="宋体" w:eastAsia="宋体" w:cs="宋体"/>
                <w:b w:val="0"/>
                <w:i w:val="0"/>
                <w:color w:val="000000"/>
                <w:sz w:val="11"/>
              </w:rPr>
              <w:t>8.28</w:t>
            </w:r>
          </w:p>
        </w:tc>
        <w:tc>
          <w:tcPr>
            <w:tcW w:w="980" w:type="dxa"/>
            <w:vAlign w:val="center"/>
          </w:tcPr>
          <w:p>
            <w:pPr>
              <w:jc w:val="right"/>
            </w:pPr>
            <w:r>
              <w:rPr>
                <w:rFonts w:ascii="宋体" w:hAnsi="宋体" w:eastAsia="宋体" w:cs="宋体"/>
                <w:b w:val="0"/>
                <w:i w:val="0"/>
                <w:color w:val="000000"/>
                <w:sz w:val="11"/>
              </w:rPr>
              <w:t>6.29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2080501</w:t>
            </w:r>
          </w:p>
        </w:tc>
        <w:tc>
          <w:tcPr>
            <w:tcW w:w="1760" w:type="dxa"/>
            <w:vAlign w:val="center"/>
          </w:tcPr>
          <w:p>
            <w:pPr>
              <w:jc w:val="left"/>
            </w:pPr>
            <w:r>
              <w:rPr>
                <w:rFonts w:ascii="宋体" w:hAnsi="宋体" w:eastAsia="宋体" w:cs="宋体"/>
                <w:b w:val="0"/>
                <w:i w:val="0"/>
                <w:color w:val="000000"/>
                <w:sz w:val="11"/>
              </w:rPr>
              <w:t>行政单位离退休</w:t>
            </w:r>
          </w:p>
        </w:tc>
        <w:tc>
          <w:tcPr>
            <w:tcW w:w="940" w:type="dxa"/>
            <w:vAlign w:val="center"/>
          </w:tcPr>
          <w:p>
            <w:pPr>
              <w:jc w:val="right"/>
            </w:pPr>
            <w:r>
              <w:rPr>
                <w:rFonts w:ascii="宋体" w:hAnsi="宋体" w:eastAsia="宋体" w:cs="宋体"/>
                <w:b w:val="0"/>
                <w:i w:val="0"/>
                <w:color w:val="000000"/>
                <w:sz w:val="11"/>
              </w:rPr>
              <w:t>0.75</w:t>
            </w:r>
          </w:p>
        </w:tc>
        <w:tc>
          <w:tcPr>
            <w:tcW w:w="1000" w:type="dxa"/>
            <w:vAlign w:val="center"/>
          </w:tcPr>
          <w:p>
            <w:pPr>
              <w:jc w:val="right"/>
            </w:pPr>
            <w:r>
              <w:rPr>
                <w:rFonts w:ascii="宋体" w:hAnsi="宋体" w:eastAsia="宋体" w:cs="宋体"/>
                <w:b w:val="0"/>
                <w:i w:val="0"/>
                <w:color w:val="000000"/>
                <w:sz w:val="11"/>
              </w:rPr>
              <w:t>0.75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7.53</w:t>
            </w:r>
          </w:p>
        </w:tc>
        <w:tc>
          <w:tcPr>
            <w:tcW w:w="1000" w:type="dxa"/>
            <w:vAlign w:val="center"/>
          </w:tcPr>
          <w:p>
            <w:pPr>
              <w:jc w:val="right"/>
            </w:pPr>
            <w:r>
              <w:rPr>
                <w:rFonts w:ascii="宋体" w:hAnsi="宋体" w:eastAsia="宋体" w:cs="宋体"/>
                <w:b w:val="0"/>
                <w:i w:val="0"/>
                <w:color w:val="000000"/>
                <w:sz w:val="11"/>
              </w:rPr>
              <w:t>7.53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6.29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0.03</w:t>
            </w:r>
          </w:p>
        </w:tc>
        <w:tc>
          <w:tcPr>
            <w:tcW w:w="1000" w:type="dxa"/>
            <w:vAlign w:val="center"/>
          </w:tcPr>
          <w:p>
            <w:pPr>
              <w:jc w:val="right"/>
            </w:pPr>
            <w:r>
              <w:rPr>
                <w:rFonts w:ascii="宋体" w:hAnsi="宋体" w:eastAsia="宋体" w:cs="宋体"/>
                <w:b w:val="0"/>
                <w:i w:val="0"/>
                <w:color w:val="000000"/>
                <w:sz w:val="11"/>
              </w:rPr>
              <w:t>0.03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0.03</w:t>
            </w:r>
          </w:p>
        </w:tc>
        <w:tc>
          <w:tcPr>
            <w:tcW w:w="1000" w:type="dxa"/>
            <w:vAlign w:val="center"/>
          </w:tcPr>
          <w:p>
            <w:pPr>
              <w:jc w:val="right"/>
            </w:pPr>
            <w:r>
              <w:rPr>
                <w:rFonts w:ascii="宋体" w:hAnsi="宋体" w:eastAsia="宋体" w:cs="宋体"/>
                <w:b w:val="0"/>
                <w:i w:val="0"/>
                <w:color w:val="000000"/>
                <w:sz w:val="11"/>
              </w:rPr>
              <w:t>0.03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4.62</w:t>
            </w:r>
          </w:p>
        </w:tc>
        <w:tc>
          <w:tcPr>
            <w:tcW w:w="1000" w:type="dxa"/>
            <w:vAlign w:val="center"/>
          </w:tcPr>
          <w:p>
            <w:pPr>
              <w:jc w:val="right"/>
            </w:pPr>
            <w:r>
              <w:rPr>
                <w:rFonts w:ascii="宋体" w:hAnsi="宋体" w:eastAsia="宋体" w:cs="宋体"/>
                <w:b w:val="0"/>
                <w:i w:val="0"/>
                <w:color w:val="000000"/>
                <w:sz w:val="11"/>
              </w:rPr>
              <w:t>3.72</w:t>
            </w:r>
          </w:p>
        </w:tc>
        <w:tc>
          <w:tcPr>
            <w:tcW w:w="980" w:type="dxa"/>
            <w:vAlign w:val="center"/>
          </w:tcPr>
          <w:p>
            <w:pPr>
              <w:jc w:val="right"/>
            </w:pPr>
            <w:r>
              <w:rPr>
                <w:rFonts w:ascii="宋体" w:hAnsi="宋体" w:eastAsia="宋体" w:cs="宋体"/>
                <w:b w:val="0"/>
                <w:i w:val="0"/>
                <w:color w:val="000000"/>
                <w:sz w:val="11"/>
              </w:rPr>
              <w:t>0.90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4.62</w:t>
            </w:r>
          </w:p>
        </w:tc>
        <w:tc>
          <w:tcPr>
            <w:tcW w:w="1000" w:type="dxa"/>
            <w:vAlign w:val="center"/>
          </w:tcPr>
          <w:p>
            <w:pPr>
              <w:jc w:val="right"/>
            </w:pPr>
            <w:r>
              <w:rPr>
                <w:rFonts w:ascii="宋体" w:hAnsi="宋体" w:eastAsia="宋体" w:cs="宋体"/>
                <w:b w:val="0"/>
                <w:i w:val="0"/>
                <w:color w:val="000000"/>
                <w:sz w:val="11"/>
              </w:rPr>
              <w:t>3.72</w:t>
            </w:r>
          </w:p>
        </w:tc>
        <w:tc>
          <w:tcPr>
            <w:tcW w:w="980" w:type="dxa"/>
            <w:vAlign w:val="center"/>
          </w:tcPr>
          <w:p>
            <w:pPr>
              <w:jc w:val="right"/>
            </w:pPr>
            <w:r>
              <w:rPr>
                <w:rFonts w:ascii="宋体" w:hAnsi="宋体" w:eastAsia="宋体" w:cs="宋体"/>
                <w:b w:val="0"/>
                <w:i w:val="0"/>
                <w:color w:val="000000"/>
                <w:sz w:val="11"/>
              </w:rPr>
              <w:t>0.90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3.72</w:t>
            </w:r>
          </w:p>
        </w:tc>
        <w:tc>
          <w:tcPr>
            <w:tcW w:w="1000" w:type="dxa"/>
            <w:vAlign w:val="center"/>
          </w:tcPr>
          <w:p>
            <w:pPr>
              <w:jc w:val="right"/>
            </w:pPr>
            <w:r>
              <w:rPr>
                <w:rFonts w:ascii="宋体" w:hAnsi="宋体" w:eastAsia="宋体" w:cs="宋体"/>
                <w:b w:val="0"/>
                <w:i w:val="0"/>
                <w:color w:val="000000"/>
                <w:sz w:val="11"/>
              </w:rPr>
              <w:t>3.72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0.90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7.99</w:t>
            </w:r>
          </w:p>
        </w:tc>
        <w:tc>
          <w:tcPr>
            <w:tcW w:w="1000" w:type="dxa"/>
            <w:vAlign w:val="center"/>
          </w:tcPr>
          <w:p>
            <w:pPr>
              <w:jc w:val="right"/>
            </w:pPr>
            <w:r>
              <w:rPr>
                <w:rFonts w:ascii="宋体" w:hAnsi="宋体" w:eastAsia="宋体" w:cs="宋体"/>
                <w:b w:val="0"/>
                <w:i w:val="0"/>
                <w:color w:val="000000"/>
                <w:sz w:val="11"/>
              </w:rPr>
              <w:t>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7.99</w:t>
            </w:r>
          </w:p>
        </w:tc>
        <w:tc>
          <w:tcPr>
            <w:tcW w:w="1000" w:type="dxa"/>
            <w:vAlign w:val="center"/>
          </w:tcPr>
          <w:p>
            <w:pPr>
              <w:jc w:val="right"/>
            </w:pPr>
            <w:r>
              <w:rPr>
                <w:rFonts w:ascii="宋体" w:hAnsi="宋体" w:eastAsia="宋体" w:cs="宋体"/>
                <w:b w:val="0"/>
                <w:i w:val="0"/>
                <w:color w:val="000000"/>
                <w:sz w:val="11"/>
              </w:rPr>
              <w:t>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7.99</w:t>
            </w:r>
          </w:p>
        </w:tc>
        <w:tc>
          <w:tcPr>
            <w:tcW w:w="1000" w:type="dxa"/>
            <w:vAlign w:val="center"/>
          </w:tcPr>
          <w:p>
            <w:pPr>
              <w:jc w:val="right"/>
            </w:pPr>
            <w:r>
              <w:rPr>
                <w:rFonts w:ascii="宋体" w:hAnsi="宋体" w:eastAsia="宋体" w:cs="宋体"/>
                <w:b w:val="0"/>
                <w:i w:val="0"/>
                <w:color w:val="000000"/>
                <w:sz w:val="11"/>
              </w:rPr>
              <w:t>7.99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37.67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37.67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37.67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37.67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37.67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37.67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193.09</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pPr>
              <w:jc w:val="right"/>
            </w:pPr>
            <w:r>
              <w:rPr>
                <w:rFonts w:ascii="宋体" w:hAnsi="宋体" w:eastAsia="宋体" w:cs="宋体"/>
                <w:b w:val="0"/>
                <w:i w:val="0"/>
                <w:color w:val="000000"/>
                <w:sz w:val="17"/>
              </w:rPr>
              <w:t>165.89</w:t>
            </w:r>
          </w:p>
        </w:tc>
        <w:tc>
          <w:tcPr>
            <w:tcW w:w="1460" w:type="dxa"/>
            <w:vAlign w:val="center"/>
          </w:tcPr>
          <w:p>
            <w:pPr>
              <w:jc w:val="right"/>
            </w:pPr>
            <w:r>
              <w:rPr>
                <w:rFonts w:ascii="宋体" w:hAnsi="宋体" w:eastAsia="宋体" w:cs="宋体"/>
                <w:b w:val="0"/>
                <w:i w:val="0"/>
                <w:color w:val="000000"/>
                <w:sz w:val="17"/>
              </w:rPr>
              <w:t>165.89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14.60</w:t>
            </w:r>
          </w:p>
        </w:tc>
        <w:tc>
          <w:tcPr>
            <w:tcW w:w="1460" w:type="dxa"/>
            <w:vAlign w:val="center"/>
          </w:tcPr>
          <w:p>
            <w:pPr>
              <w:jc w:val="right"/>
            </w:pPr>
            <w:r>
              <w:rPr>
                <w:rFonts w:ascii="宋体" w:hAnsi="宋体" w:eastAsia="宋体" w:cs="宋体"/>
                <w:b w:val="0"/>
                <w:i w:val="0"/>
                <w:color w:val="000000"/>
                <w:sz w:val="17"/>
              </w:rPr>
              <w:t>14.60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4.62</w:t>
            </w:r>
          </w:p>
        </w:tc>
        <w:tc>
          <w:tcPr>
            <w:tcW w:w="1460" w:type="dxa"/>
            <w:vAlign w:val="center"/>
          </w:tcPr>
          <w:p>
            <w:pPr>
              <w:jc w:val="right"/>
            </w:pPr>
            <w:r>
              <w:rPr>
                <w:rFonts w:ascii="宋体" w:hAnsi="宋体" w:eastAsia="宋体" w:cs="宋体"/>
                <w:b w:val="0"/>
                <w:i w:val="0"/>
                <w:color w:val="000000"/>
                <w:sz w:val="17"/>
              </w:rPr>
              <w:t>4.62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7.99</w:t>
            </w:r>
          </w:p>
        </w:tc>
        <w:tc>
          <w:tcPr>
            <w:tcW w:w="1460" w:type="dxa"/>
            <w:vAlign w:val="center"/>
          </w:tcPr>
          <w:p>
            <w:pPr>
              <w:jc w:val="right"/>
            </w:pPr>
            <w:r>
              <w:rPr>
                <w:rFonts w:ascii="宋体" w:hAnsi="宋体" w:eastAsia="宋体" w:cs="宋体"/>
                <w:b w:val="0"/>
                <w:i w:val="0"/>
                <w:color w:val="000000"/>
                <w:sz w:val="17"/>
              </w:rPr>
              <w:t>7.99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193.09</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193.09</w:t>
            </w:r>
          </w:p>
        </w:tc>
        <w:tc>
          <w:tcPr>
            <w:tcW w:w="1460" w:type="dxa"/>
            <w:vAlign w:val="center"/>
          </w:tcPr>
          <w:p>
            <w:pPr>
              <w:jc w:val="right"/>
            </w:pPr>
            <w:r>
              <w:rPr>
                <w:rFonts w:ascii="宋体" w:hAnsi="宋体" w:eastAsia="宋体" w:cs="宋体"/>
                <w:b w:val="0"/>
                <w:i w:val="0"/>
                <w:color w:val="000000"/>
                <w:sz w:val="17"/>
              </w:rPr>
              <w:t>193.09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193.09</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193.09</w:t>
            </w:r>
          </w:p>
        </w:tc>
        <w:tc>
          <w:tcPr>
            <w:tcW w:w="1460" w:type="dxa"/>
            <w:vAlign w:val="center"/>
          </w:tcPr>
          <w:p>
            <w:pPr>
              <w:jc w:val="right"/>
            </w:pPr>
            <w:r>
              <w:rPr>
                <w:rFonts w:ascii="宋体" w:hAnsi="宋体" w:eastAsia="宋体" w:cs="宋体"/>
                <w:b w:val="0"/>
                <w:i w:val="0"/>
                <w:color w:val="000000"/>
                <w:sz w:val="17"/>
              </w:rPr>
              <w:t>193.09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193.09</w:t>
            </w:r>
          </w:p>
        </w:tc>
        <w:tc>
          <w:tcPr>
            <w:tcW w:w="1520" w:type="dxa"/>
            <w:vAlign w:val="center"/>
          </w:tcPr>
          <w:p>
            <w:pPr>
              <w:jc w:val="right"/>
            </w:pPr>
            <w:r>
              <w:rPr>
                <w:rFonts w:ascii="宋体" w:hAnsi="宋体" w:eastAsia="宋体" w:cs="宋体"/>
                <w:b w:val="0"/>
                <w:i w:val="0"/>
                <w:color w:val="000000"/>
                <w:sz w:val="16"/>
              </w:rPr>
              <w:t>79.88</w:t>
            </w:r>
          </w:p>
        </w:tc>
        <w:tc>
          <w:tcPr>
            <w:tcW w:w="1526" w:type="dxa"/>
            <w:vAlign w:val="center"/>
          </w:tcPr>
          <w:p>
            <w:pPr>
              <w:jc w:val="right"/>
            </w:pPr>
            <w:r>
              <w:rPr>
                <w:rFonts w:ascii="宋体" w:hAnsi="宋体" w:eastAsia="宋体" w:cs="宋体"/>
                <w:b w:val="0"/>
                <w:i w:val="0"/>
                <w:color w:val="000000"/>
                <w:sz w:val="16"/>
              </w:rPr>
              <w:t>113.22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w:t>
            </w:r>
          </w:p>
        </w:tc>
        <w:tc>
          <w:tcPr>
            <w:tcW w:w="2700" w:type="dxa"/>
            <w:vAlign w:val="center"/>
          </w:tcPr>
          <w:p>
            <w:pPr>
              <w:jc w:val="left"/>
            </w:pPr>
            <w:r>
              <w:rPr>
                <w:rFonts w:ascii="宋体" w:hAnsi="宋体" w:eastAsia="宋体" w:cs="宋体"/>
                <w:b w:val="0"/>
                <w:i w:val="0"/>
                <w:color w:val="000000"/>
                <w:sz w:val="16"/>
              </w:rPr>
              <w:t>科学技术支出</w:t>
            </w:r>
          </w:p>
        </w:tc>
        <w:tc>
          <w:tcPr>
            <w:tcW w:w="1420" w:type="dxa"/>
            <w:vAlign w:val="center"/>
          </w:tcPr>
          <w:p>
            <w:pPr>
              <w:jc w:val="right"/>
            </w:pPr>
            <w:r>
              <w:rPr>
                <w:rFonts w:ascii="宋体" w:hAnsi="宋体" w:eastAsia="宋体" w:cs="宋体"/>
                <w:b w:val="0"/>
                <w:i w:val="0"/>
                <w:color w:val="000000"/>
                <w:sz w:val="16"/>
              </w:rPr>
              <w:t>165.89</w:t>
            </w:r>
          </w:p>
        </w:tc>
        <w:tc>
          <w:tcPr>
            <w:tcW w:w="1520" w:type="dxa"/>
            <w:vAlign w:val="center"/>
          </w:tcPr>
          <w:p>
            <w:pPr>
              <w:jc w:val="right"/>
            </w:pPr>
            <w:r>
              <w:rPr>
                <w:rFonts w:ascii="宋体" w:hAnsi="宋体" w:eastAsia="宋体" w:cs="宋体"/>
                <w:b w:val="0"/>
                <w:i w:val="0"/>
                <w:color w:val="000000"/>
                <w:sz w:val="16"/>
              </w:rPr>
              <w:t>59.86</w:t>
            </w:r>
          </w:p>
        </w:tc>
        <w:tc>
          <w:tcPr>
            <w:tcW w:w="1526" w:type="dxa"/>
            <w:vAlign w:val="center"/>
          </w:tcPr>
          <w:p>
            <w:pPr>
              <w:jc w:val="right"/>
            </w:pPr>
            <w:r>
              <w:rPr>
                <w:rFonts w:ascii="宋体" w:hAnsi="宋体" w:eastAsia="宋体" w:cs="宋体"/>
                <w:b w:val="0"/>
                <w:i w:val="0"/>
                <w:color w:val="000000"/>
                <w:sz w:val="16"/>
              </w:rPr>
              <w:t>106.03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w:t>
            </w:r>
          </w:p>
        </w:tc>
        <w:tc>
          <w:tcPr>
            <w:tcW w:w="2700" w:type="dxa"/>
            <w:vAlign w:val="center"/>
          </w:tcPr>
          <w:p>
            <w:pPr>
              <w:jc w:val="left"/>
            </w:pPr>
            <w:r>
              <w:rPr>
                <w:rFonts w:ascii="宋体" w:hAnsi="宋体" w:eastAsia="宋体" w:cs="宋体"/>
                <w:b w:val="0"/>
                <w:i w:val="0"/>
                <w:color w:val="000000"/>
                <w:sz w:val="16"/>
              </w:rPr>
              <w:t>科学技术管理事务</w:t>
            </w:r>
          </w:p>
        </w:tc>
        <w:tc>
          <w:tcPr>
            <w:tcW w:w="1420" w:type="dxa"/>
            <w:vAlign w:val="center"/>
          </w:tcPr>
          <w:p>
            <w:pPr>
              <w:jc w:val="right"/>
            </w:pPr>
            <w:r>
              <w:rPr>
                <w:rFonts w:ascii="宋体" w:hAnsi="宋体" w:eastAsia="宋体" w:cs="宋体"/>
                <w:b w:val="0"/>
                <w:i w:val="0"/>
                <w:color w:val="000000"/>
                <w:sz w:val="16"/>
              </w:rPr>
              <w:t>124.60</w:t>
            </w:r>
          </w:p>
        </w:tc>
        <w:tc>
          <w:tcPr>
            <w:tcW w:w="1520" w:type="dxa"/>
            <w:vAlign w:val="center"/>
          </w:tcPr>
          <w:p>
            <w:pPr>
              <w:jc w:val="right"/>
            </w:pPr>
            <w:r>
              <w:rPr>
                <w:rFonts w:ascii="宋体" w:hAnsi="宋体" w:eastAsia="宋体" w:cs="宋体"/>
                <w:b w:val="0"/>
                <w:i w:val="0"/>
                <w:color w:val="000000"/>
                <w:sz w:val="16"/>
              </w:rPr>
              <w:t>59.86</w:t>
            </w:r>
          </w:p>
        </w:tc>
        <w:tc>
          <w:tcPr>
            <w:tcW w:w="1526" w:type="dxa"/>
            <w:vAlign w:val="center"/>
          </w:tcPr>
          <w:p>
            <w:pPr>
              <w:jc w:val="right"/>
            </w:pPr>
            <w:r>
              <w:rPr>
                <w:rFonts w:ascii="宋体" w:hAnsi="宋体" w:eastAsia="宋体" w:cs="宋体"/>
                <w:b w:val="0"/>
                <w:i w:val="0"/>
                <w:color w:val="000000"/>
                <w:sz w:val="16"/>
              </w:rPr>
              <w:t>64.74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67.20</w:t>
            </w:r>
          </w:p>
        </w:tc>
        <w:tc>
          <w:tcPr>
            <w:tcW w:w="1520" w:type="dxa"/>
            <w:vAlign w:val="center"/>
          </w:tcPr>
          <w:p>
            <w:pPr>
              <w:jc w:val="right"/>
            </w:pPr>
            <w:r>
              <w:rPr>
                <w:rFonts w:ascii="宋体" w:hAnsi="宋体" w:eastAsia="宋体" w:cs="宋体"/>
                <w:b w:val="0"/>
                <w:i w:val="0"/>
                <w:color w:val="000000"/>
                <w:sz w:val="16"/>
              </w:rPr>
              <w:t>59.86</w:t>
            </w:r>
          </w:p>
        </w:tc>
        <w:tc>
          <w:tcPr>
            <w:tcW w:w="1526" w:type="dxa"/>
            <w:vAlign w:val="center"/>
          </w:tcPr>
          <w:p>
            <w:pPr>
              <w:jc w:val="right"/>
            </w:pPr>
            <w:r>
              <w:rPr>
                <w:rFonts w:ascii="宋体" w:hAnsi="宋体" w:eastAsia="宋体" w:cs="宋体"/>
                <w:b w:val="0"/>
                <w:i w:val="0"/>
                <w:color w:val="000000"/>
                <w:sz w:val="16"/>
              </w:rPr>
              <w:t>7.34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57.40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57.40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20607</w:t>
            </w:r>
          </w:p>
        </w:tc>
        <w:tc>
          <w:tcPr>
            <w:tcW w:w="2700" w:type="dxa"/>
            <w:vAlign w:val="center"/>
          </w:tcPr>
          <w:p>
            <w:pPr>
              <w:jc w:val="left"/>
            </w:pPr>
            <w:r>
              <w:rPr>
                <w:rFonts w:ascii="宋体" w:hAnsi="宋体" w:eastAsia="宋体" w:cs="宋体"/>
                <w:b w:val="0"/>
                <w:i w:val="0"/>
                <w:color w:val="000000"/>
                <w:sz w:val="16"/>
              </w:rPr>
              <w:t>科学技术普及</w:t>
            </w:r>
          </w:p>
        </w:tc>
        <w:tc>
          <w:tcPr>
            <w:tcW w:w="1420" w:type="dxa"/>
            <w:vAlign w:val="center"/>
          </w:tcPr>
          <w:p>
            <w:pPr>
              <w:jc w:val="right"/>
            </w:pPr>
            <w:r>
              <w:rPr>
                <w:rFonts w:ascii="宋体" w:hAnsi="宋体" w:eastAsia="宋体" w:cs="宋体"/>
                <w:b w:val="0"/>
                <w:i w:val="0"/>
                <w:color w:val="000000"/>
                <w:sz w:val="16"/>
              </w:rPr>
              <w:t>41.29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2060702</w:t>
            </w:r>
          </w:p>
        </w:tc>
        <w:tc>
          <w:tcPr>
            <w:tcW w:w="2700" w:type="dxa"/>
            <w:vAlign w:val="center"/>
          </w:tcPr>
          <w:p>
            <w:pPr>
              <w:jc w:val="left"/>
            </w:pPr>
            <w:r>
              <w:rPr>
                <w:rFonts w:ascii="宋体" w:hAnsi="宋体" w:eastAsia="宋体" w:cs="宋体"/>
                <w:b w:val="0"/>
                <w:i w:val="0"/>
                <w:color w:val="000000"/>
                <w:sz w:val="16"/>
              </w:rPr>
              <w:t>科普活动</w:t>
            </w:r>
          </w:p>
        </w:tc>
        <w:tc>
          <w:tcPr>
            <w:tcW w:w="1420" w:type="dxa"/>
            <w:vAlign w:val="center"/>
          </w:tcPr>
          <w:p>
            <w:pPr>
              <w:jc w:val="right"/>
            </w:pPr>
            <w:r>
              <w:rPr>
                <w:rFonts w:ascii="宋体" w:hAnsi="宋体" w:eastAsia="宋体" w:cs="宋体"/>
                <w:b w:val="0"/>
                <w:i w:val="0"/>
                <w:color w:val="000000"/>
                <w:sz w:val="16"/>
              </w:rPr>
              <w:t>41.09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2060799</w:t>
            </w:r>
          </w:p>
        </w:tc>
        <w:tc>
          <w:tcPr>
            <w:tcW w:w="2700" w:type="dxa"/>
            <w:vAlign w:val="center"/>
          </w:tcPr>
          <w:p>
            <w:pPr>
              <w:jc w:val="left"/>
            </w:pPr>
            <w:r>
              <w:rPr>
                <w:rFonts w:ascii="宋体" w:hAnsi="宋体" w:eastAsia="宋体" w:cs="宋体"/>
                <w:b w:val="0"/>
                <w:i w:val="0"/>
                <w:color w:val="000000"/>
                <w:sz w:val="16"/>
              </w:rPr>
              <w:t>其他科学技术普及支出</w:t>
            </w:r>
          </w:p>
        </w:tc>
        <w:tc>
          <w:tcPr>
            <w:tcW w:w="1420" w:type="dxa"/>
            <w:vAlign w:val="center"/>
          </w:tcPr>
          <w:p>
            <w:pPr>
              <w:jc w:val="right"/>
            </w:pPr>
            <w:r>
              <w:rPr>
                <w:rFonts w:ascii="宋体" w:hAnsi="宋体" w:eastAsia="宋体" w:cs="宋体"/>
                <w:b w:val="0"/>
                <w:i w:val="0"/>
                <w:color w:val="000000"/>
                <w:sz w:val="16"/>
              </w:rPr>
              <w:t>0.20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14.60</w:t>
            </w:r>
          </w:p>
        </w:tc>
        <w:tc>
          <w:tcPr>
            <w:tcW w:w="1520" w:type="dxa"/>
            <w:vAlign w:val="center"/>
          </w:tcPr>
          <w:p>
            <w:pPr>
              <w:jc w:val="right"/>
            </w:pPr>
            <w:r>
              <w:rPr>
                <w:rFonts w:ascii="宋体" w:hAnsi="宋体" w:eastAsia="宋体" w:cs="宋体"/>
                <w:b w:val="0"/>
                <w:i w:val="0"/>
                <w:color w:val="000000"/>
                <w:sz w:val="16"/>
              </w:rPr>
              <w:t>8.31</w:t>
            </w:r>
          </w:p>
        </w:tc>
        <w:tc>
          <w:tcPr>
            <w:tcW w:w="1526" w:type="dxa"/>
            <w:vAlign w:val="center"/>
          </w:tcPr>
          <w:p>
            <w:pPr>
              <w:jc w:val="right"/>
            </w:pPr>
            <w:r>
              <w:rPr>
                <w:rFonts w:ascii="宋体" w:hAnsi="宋体" w:eastAsia="宋体" w:cs="宋体"/>
                <w:b w:val="0"/>
                <w:i w:val="0"/>
                <w:color w:val="000000"/>
                <w:sz w:val="16"/>
              </w:rPr>
              <w:t>6.29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14.57</w:t>
            </w:r>
          </w:p>
        </w:tc>
        <w:tc>
          <w:tcPr>
            <w:tcW w:w="1520" w:type="dxa"/>
            <w:vAlign w:val="center"/>
          </w:tcPr>
          <w:p>
            <w:pPr>
              <w:jc w:val="right"/>
            </w:pPr>
            <w:r>
              <w:rPr>
                <w:rFonts w:ascii="宋体" w:hAnsi="宋体" w:eastAsia="宋体" w:cs="宋体"/>
                <w:b w:val="0"/>
                <w:i w:val="0"/>
                <w:color w:val="000000"/>
                <w:sz w:val="16"/>
              </w:rPr>
              <w:t>8.28</w:t>
            </w:r>
          </w:p>
        </w:tc>
        <w:tc>
          <w:tcPr>
            <w:tcW w:w="1526" w:type="dxa"/>
            <w:vAlign w:val="center"/>
          </w:tcPr>
          <w:p>
            <w:pPr>
              <w:jc w:val="right"/>
            </w:pPr>
            <w:r>
              <w:rPr>
                <w:rFonts w:ascii="宋体" w:hAnsi="宋体" w:eastAsia="宋体" w:cs="宋体"/>
                <w:b w:val="0"/>
                <w:i w:val="0"/>
                <w:color w:val="000000"/>
                <w:sz w:val="16"/>
              </w:rPr>
              <w:t>6.29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2080501</w:t>
            </w:r>
          </w:p>
        </w:tc>
        <w:tc>
          <w:tcPr>
            <w:tcW w:w="2700" w:type="dxa"/>
            <w:vAlign w:val="center"/>
          </w:tcPr>
          <w:p>
            <w:pPr>
              <w:jc w:val="left"/>
            </w:pPr>
            <w:r>
              <w:rPr>
                <w:rFonts w:ascii="宋体" w:hAnsi="宋体" w:eastAsia="宋体" w:cs="宋体"/>
                <w:b w:val="0"/>
                <w:i w:val="0"/>
                <w:color w:val="000000"/>
                <w:sz w:val="16"/>
              </w:rPr>
              <w:t>行政单位离退休</w:t>
            </w:r>
          </w:p>
        </w:tc>
        <w:tc>
          <w:tcPr>
            <w:tcW w:w="1420" w:type="dxa"/>
            <w:vAlign w:val="center"/>
          </w:tcPr>
          <w:p>
            <w:pPr>
              <w:jc w:val="right"/>
            </w:pPr>
            <w:r>
              <w:rPr>
                <w:rFonts w:ascii="宋体" w:hAnsi="宋体" w:eastAsia="宋体" w:cs="宋体"/>
                <w:b w:val="0"/>
                <w:i w:val="0"/>
                <w:color w:val="000000"/>
                <w:sz w:val="16"/>
              </w:rPr>
              <w:t>0.75</w:t>
            </w:r>
          </w:p>
        </w:tc>
        <w:tc>
          <w:tcPr>
            <w:tcW w:w="1520" w:type="dxa"/>
            <w:vAlign w:val="center"/>
          </w:tcPr>
          <w:p>
            <w:pPr>
              <w:jc w:val="right"/>
            </w:pPr>
            <w:r>
              <w:rPr>
                <w:rFonts w:ascii="宋体" w:hAnsi="宋体" w:eastAsia="宋体" w:cs="宋体"/>
                <w:b w:val="0"/>
                <w:i w:val="0"/>
                <w:color w:val="000000"/>
                <w:sz w:val="16"/>
              </w:rPr>
              <w:t>0.75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7.53</w:t>
            </w:r>
          </w:p>
        </w:tc>
        <w:tc>
          <w:tcPr>
            <w:tcW w:w="1520" w:type="dxa"/>
            <w:vAlign w:val="center"/>
          </w:tcPr>
          <w:p>
            <w:pPr>
              <w:jc w:val="right"/>
            </w:pPr>
            <w:r>
              <w:rPr>
                <w:rFonts w:ascii="宋体" w:hAnsi="宋体" w:eastAsia="宋体" w:cs="宋体"/>
                <w:b w:val="0"/>
                <w:i w:val="0"/>
                <w:color w:val="000000"/>
                <w:sz w:val="16"/>
              </w:rPr>
              <w:t>7.53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6.29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0.03</w:t>
            </w:r>
          </w:p>
        </w:tc>
        <w:tc>
          <w:tcPr>
            <w:tcW w:w="1520" w:type="dxa"/>
            <w:vAlign w:val="center"/>
          </w:tcPr>
          <w:p>
            <w:pPr>
              <w:jc w:val="right"/>
            </w:pPr>
            <w:r>
              <w:rPr>
                <w:rFonts w:ascii="宋体" w:hAnsi="宋体" w:eastAsia="宋体" w:cs="宋体"/>
                <w:b w:val="0"/>
                <w:i w:val="0"/>
                <w:color w:val="000000"/>
                <w:sz w:val="16"/>
              </w:rPr>
              <w:t>0.03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0.03</w:t>
            </w:r>
          </w:p>
        </w:tc>
        <w:tc>
          <w:tcPr>
            <w:tcW w:w="1520" w:type="dxa"/>
            <w:vAlign w:val="center"/>
          </w:tcPr>
          <w:p>
            <w:pPr>
              <w:jc w:val="right"/>
            </w:pPr>
            <w:r>
              <w:rPr>
                <w:rFonts w:ascii="宋体" w:hAnsi="宋体" w:eastAsia="宋体" w:cs="宋体"/>
                <w:b w:val="0"/>
                <w:i w:val="0"/>
                <w:color w:val="000000"/>
                <w:sz w:val="16"/>
              </w:rPr>
              <w:t>0.03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4.62</w:t>
            </w:r>
          </w:p>
        </w:tc>
        <w:tc>
          <w:tcPr>
            <w:tcW w:w="1520" w:type="dxa"/>
            <w:vAlign w:val="center"/>
          </w:tcPr>
          <w:p>
            <w:pPr>
              <w:jc w:val="right"/>
            </w:pPr>
            <w:r>
              <w:rPr>
                <w:rFonts w:ascii="宋体" w:hAnsi="宋体" w:eastAsia="宋体" w:cs="宋体"/>
                <w:b w:val="0"/>
                <w:i w:val="0"/>
                <w:color w:val="000000"/>
                <w:sz w:val="16"/>
              </w:rPr>
              <w:t>3.72</w:t>
            </w:r>
          </w:p>
        </w:tc>
        <w:tc>
          <w:tcPr>
            <w:tcW w:w="1526" w:type="dxa"/>
            <w:vAlign w:val="center"/>
          </w:tcPr>
          <w:p>
            <w:pPr>
              <w:jc w:val="right"/>
            </w:pPr>
            <w:r>
              <w:rPr>
                <w:rFonts w:ascii="宋体" w:hAnsi="宋体" w:eastAsia="宋体" w:cs="宋体"/>
                <w:b w:val="0"/>
                <w:i w:val="0"/>
                <w:color w:val="000000"/>
                <w:sz w:val="16"/>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4.62</w:t>
            </w:r>
          </w:p>
        </w:tc>
        <w:tc>
          <w:tcPr>
            <w:tcW w:w="1520" w:type="dxa"/>
            <w:vAlign w:val="center"/>
          </w:tcPr>
          <w:p>
            <w:pPr>
              <w:jc w:val="right"/>
            </w:pPr>
            <w:r>
              <w:rPr>
                <w:rFonts w:ascii="宋体" w:hAnsi="宋体" w:eastAsia="宋体" w:cs="宋体"/>
                <w:b w:val="0"/>
                <w:i w:val="0"/>
                <w:color w:val="000000"/>
                <w:sz w:val="16"/>
              </w:rPr>
              <w:t>3.72</w:t>
            </w:r>
          </w:p>
        </w:tc>
        <w:tc>
          <w:tcPr>
            <w:tcW w:w="1526" w:type="dxa"/>
            <w:vAlign w:val="center"/>
          </w:tcPr>
          <w:p>
            <w:pPr>
              <w:jc w:val="right"/>
            </w:pPr>
            <w:r>
              <w:rPr>
                <w:rFonts w:ascii="宋体" w:hAnsi="宋体" w:eastAsia="宋体" w:cs="宋体"/>
                <w:b w:val="0"/>
                <w:i w:val="0"/>
                <w:color w:val="000000"/>
                <w:sz w:val="16"/>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3.72</w:t>
            </w:r>
          </w:p>
        </w:tc>
        <w:tc>
          <w:tcPr>
            <w:tcW w:w="1520" w:type="dxa"/>
            <w:vAlign w:val="center"/>
          </w:tcPr>
          <w:p>
            <w:pPr>
              <w:jc w:val="right"/>
            </w:pPr>
            <w:r>
              <w:rPr>
                <w:rFonts w:ascii="宋体" w:hAnsi="宋体" w:eastAsia="宋体" w:cs="宋体"/>
                <w:b w:val="0"/>
                <w:i w:val="0"/>
                <w:color w:val="000000"/>
                <w:sz w:val="16"/>
              </w:rPr>
              <w:t>3.72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0.90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7.99</w:t>
            </w:r>
          </w:p>
        </w:tc>
        <w:tc>
          <w:tcPr>
            <w:tcW w:w="1520" w:type="dxa"/>
            <w:vAlign w:val="center"/>
          </w:tcPr>
          <w:p>
            <w:pPr>
              <w:jc w:val="right"/>
            </w:pPr>
            <w:r>
              <w:rPr>
                <w:rFonts w:ascii="宋体" w:hAnsi="宋体" w:eastAsia="宋体" w:cs="宋体"/>
                <w:b w:val="0"/>
                <w:i w:val="0"/>
                <w:color w:val="000000"/>
                <w:sz w:val="16"/>
              </w:rPr>
              <w:t>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7.99</w:t>
            </w:r>
          </w:p>
        </w:tc>
        <w:tc>
          <w:tcPr>
            <w:tcW w:w="1520" w:type="dxa"/>
            <w:vAlign w:val="center"/>
          </w:tcPr>
          <w:p>
            <w:pPr>
              <w:jc w:val="right"/>
            </w:pPr>
            <w:r>
              <w:rPr>
                <w:rFonts w:ascii="宋体" w:hAnsi="宋体" w:eastAsia="宋体" w:cs="宋体"/>
                <w:b w:val="0"/>
                <w:i w:val="0"/>
                <w:color w:val="000000"/>
                <w:sz w:val="16"/>
              </w:rPr>
              <w:t>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7.99</w:t>
            </w:r>
          </w:p>
        </w:tc>
        <w:tc>
          <w:tcPr>
            <w:tcW w:w="1520" w:type="dxa"/>
            <w:vAlign w:val="center"/>
          </w:tcPr>
          <w:p>
            <w:pPr>
              <w:jc w:val="right"/>
            </w:pPr>
            <w:r>
              <w:rPr>
                <w:rFonts w:ascii="宋体" w:hAnsi="宋体" w:eastAsia="宋体" w:cs="宋体"/>
                <w:b w:val="0"/>
                <w:i w:val="0"/>
                <w:color w:val="000000"/>
                <w:sz w:val="16"/>
              </w:rPr>
              <w:t>7.99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71.54</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7.34</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33.94</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0.97</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12.05</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0.50</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5.35</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7.53</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3.44</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pPr>
              <w:jc w:val="right"/>
            </w:pPr>
            <w:r>
              <w:rPr>
                <w:rFonts w:ascii="宋体" w:hAnsi="宋体" w:eastAsia="宋体" w:cs="宋体"/>
                <w:b w:val="0"/>
                <w:i w:val="0"/>
                <w:color w:val="000000"/>
                <w:sz w:val="9"/>
              </w:rPr>
              <w:t>0.27</w:t>
            </w: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0.06</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1.20</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7.99</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0.90</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1.00</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0.57</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pPr>
              <w:jc w:val="right"/>
            </w:pPr>
            <w:r>
              <w:rPr>
                <w:rFonts w:ascii="宋体" w:hAnsi="宋体" w:eastAsia="宋体" w:cs="宋体"/>
                <w:b w:val="0"/>
                <w:i w:val="0"/>
                <w:color w:val="000000"/>
                <w:sz w:val="9"/>
              </w:rPr>
              <w:t>1.00</w:t>
            </w: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1.30</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0.45</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0.65</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1.50</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72.54</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7.34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部门：信丰县科学技术协会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5.50</w:t>
            </w:r>
          </w:p>
        </w:tc>
        <w:tc>
          <w:tcPr>
            <w:tcW w:w="1460" w:type="dxa"/>
            <w:vAlign w:val="center"/>
          </w:tcPr>
          <w:p>
            <w:pPr>
              <w:jc w:val="right"/>
            </w:pPr>
            <w:r>
              <w:rPr>
                <w:rFonts w:ascii="宋体" w:hAnsi="宋体" w:eastAsia="宋体" w:cs="宋体"/>
                <w:b w:val="0"/>
                <w:i w:val="0"/>
                <w:color w:val="000000"/>
                <w:sz w:val="16"/>
              </w:rPr>
              <w:t>5.06</w:t>
            </w:r>
          </w:p>
        </w:tc>
        <w:tc>
          <w:tcPr>
            <w:tcW w:w="1586" w:type="dxa"/>
            <w:vAlign w:val="center"/>
          </w:tcPr>
          <w:p>
            <w:pPr>
              <w:jc w:val="right"/>
            </w:pPr>
            <w:r>
              <w:rPr>
                <w:rFonts w:ascii="宋体" w:hAnsi="宋体" w:eastAsia="宋体" w:cs="宋体"/>
                <w:b w:val="0"/>
                <w:i w:val="0"/>
                <w:color w:val="000000"/>
                <w:sz w:val="17"/>
              </w:rPr>
              <w:t>5.06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1.60</w:t>
            </w:r>
          </w:p>
        </w:tc>
        <w:tc>
          <w:tcPr>
            <w:tcW w:w="1460" w:type="dxa"/>
            <w:vAlign w:val="center"/>
          </w:tcPr>
          <w:p>
            <w:pPr>
              <w:jc w:val="right"/>
            </w:pPr>
            <w:r>
              <w:rPr>
                <w:rFonts w:ascii="宋体" w:hAnsi="宋体" w:eastAsia="宋体" w:cs="宋体"/>
                <w:b w:val="0"/>
                <w:i w:val="0"/>
                <w:color w:val="000000"/>
                <w:sz w:val="16"/>
              </w:rPr>
              <w:t>1.50</w:t>
            </w:r>
          </w:p>
        </w:tc>
        <w:tc>
          <w:tcPr>
            <w:tcW w:w="1586" w:type="dxa"/>
            <w:vAlign w:val="center"/>
          </w:tcPr>
          <w:p>
            <w:pPr>
              <w:jc w:val="right"/>
            </w:pPr>
            <w:r>
              <w:rPr>
                <w:rFonts w:ascii="宋体" w:hAnsi="宋体" w:eastAsia="宋体" w:cs="宋体"/>
                <w:b w:val="0"/>
                <w:i w:val="0"/>
                <w:color w:val="000000"/>
                <w:sz w:val="17"/>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1.60</w:t>
            </w:r>
          </w:p>
        </w:tc>
        <w:tc>
          <w:tcPr>
            <w:tcW w:w="1460" w:type="dxa"/>
            <w:vAlign w:val="center"/>
          </w:tcPr>
          <w:p>
            <w:pPr>
              <w:jc w:val="right"/>
            </w:pPr>
            <w:r>
              <w:rPr>
                <w:rFonts w:ascii="宋体" w:hAnsi="宋体" w:eastAsia="宋体" w:cs="宋体"/>
                <w:b w:val="0"/>
                <w:i w:val="0"/>
                <w:color w:val="000000"/>
                <w:sz w:val="16"/>
              </w:rPr>
              <w:t>1.50</w:t>
            </w:r>
          </w:p>
        </w:tc>
        <w:tc>
          <w:tcPr>
            <w:tcW w:w="1586" w:type="dxa"/>
            <w:vAlign w:val="center"/>
          </w:tcPr>
          <w:p>
            <w:pPr>
              <w:jc w:val="right"/>
            </w:pPr>
            <w:r>
              <w:rPr>
                <w:rFonts w:ascii="宋体" w:hAnsi="宋体" w:eastAsia="宋体" w:cs="宋体"/>
                <w:b w:val="0"/>
                <w:i w:val="0"/>
                <w:color w:val="000000"/>
                <w:sz w:val="17"/>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3.90</w:t>
            </w:r>
          </w:p>
        </w:tc>
        <w:tc>
          <w:tcPr>
            <w:tcW w:w="1460" w:type="dxa"/>
            <w:vAlign w:val="center"/>
          </w:tcPr>
          <w:p>
            <w:pPr>
              <w:jc w:val="right"/>
            </w:pPr>
            <w:r>
              <w:rPr>
                <w:rFonts w:ascii="宋体" w:hAnsi="宋体" w:eastAsia="宋体" w:cs="宋体"/>
                <w:b w:val="0"/>
                <w:i w:val="0"/>
                <w:color w:val="000000"/>
                <w:sz w:val="16"/>
              </w:rPr>
              <w:t>3.56</w:t>
            </w:r>
          </w:p>
        </w:tc>
        <w:tc>
          <w:tcPr>
            <w:tcW w:w="1586" w:type="dxa"/>
            <w:vAlign w:val="center"/>
          </w:tcPr>
          <w:p>
            <w:pPr>
              <w:jc w:val="right"/>
            </w:pPr>
            <w:r>
              <w:rPr>
                <w:rFonts w:ascii="宋体" w:hAnsi="宋体" w:eastAsia="宋体" w:cs="宋体"/>
                <w:b w:val="0"/>
                <w:i w:val="0"/>
                <w:color w:val="000000"/>
                <w:sz w:val="17"/>
              </w:rPr>
              <w:t>3.56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3.56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信丰县科学技术协会</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本部门2023年度收入总计240.34万元，其中年初结转和结余0.00万元，与上年持平；使用非财政拨款结余和专用结余0.00万元，与上年持平；本年收入合计240.34万元，比上年增加91.36万元</w:t>
      </w:r>
      <w:r>
        <w:rPr>
          <w:rFonts w:hint="eastAsia" w:ascii="仿宋_GB2312" w:hAnsi="仿宋_GB2312" w:eastAsia="仿宋_GB2312" w:cs="Times New Roman"/>
          <w:sz w:val="32"/>
          <w:szCs w:val="32"/>
        </w:rPr>
        <w:t>，增长61.32%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中国流动科技馆江西巡展信丰站在信丰开展，故总收入增加．</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本年收入的具体构成：财政拨款收入193.09万元，占80.34%；事业收入0.00万元，占0.00%；经营收入0.00万元，占0.00%；上级补助收入0.00万元，占0.00%；附属单位上缴收入0.00万元，占0.00%；其他收入47.24万元，占19.66%。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本部门2023年度支出总计240.34万元，其中本年支出合计230.77万元，比上年增加81.79万元</w:t>
      </w:r>
      <w:r>
        <w:rPr>
          <w:rFonts w:hint="eastAsia" w:ascii="仿宋_GB2312" w:hAnsi="仿宋_GB2312" w:eastAsia="仿宋_GB2312" w:cs="Times New Roman"/>
          <w:sz w:val="32"/>
          <w:szCs w:val="32"/>
        </w:rPr>
        <w:t>，增长54.90%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中国流动科技馆江西巡展信丰站在信丰开展，故总收入增加</w:t>
      </w:r>
      <w:r>
        <w:rPr>
          <w:rFonts w:hint="eastAsia" w:ascii="仿宋_GB2312" w:hAnsi="仿宋_GB2312" w:eastAsia="仿宋_GB2312"/>
          <w:sz w:val="32"/>
          <w:szCs w:val="32"/>
        </w:rPr>
        <w:t>；结余分配0.00万元，与上年持平；年末结转和结余9.57万元，比上年增加9.57万元，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因部分款项未结清，故有结余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本年支出的具体构成：基本支出79.88万元，占34.61%；项目支出150.89万元，占65.39%；经营支出0.00万元，占0.00%；上缴上级支出0.00万元，占0.00%；对附属单位补助支出0.00万元，占0.00%。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本部门2023年度财政拨款本年支出年初预算数161.60万元，决算数193.09万元，完成年初预算的119.49%。其中：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）科学技术支出（类）年初预算数142.45万元，决算数165.89万元，完成年初预算的116.45%。预决算差异主要原因：</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）社会保障和就业支出（类）年初预算数7.53万元，决算数14.60万元，完成年初预算的193.87%。预决算差异主要原因：</w:t>
      </w:r>
      <w:r>
        <w:rPr>
          <w:rFonts w:hint="eastAsia" w:ascii="仿宋_GB2312" w:hAnsi="仿宋_GB2312" w:eastAsia="仿宋_GB2312"/>
          <w:sz w:val="32"/>
          <w:szCs w:val="32"/>
          <w:lang w:eastAsia="zh-CN"/>
        </w:rPr>
        <w:t>因</w:t>
      </w:r>
      <w:r>
        <w:rPr>
          <w:rFonts w:hint="eastAsia" w:ascii="仿宋_GB2312" w:hAnsi="仿宋_GB2312" w:eastAsia="仿宋_GB2312"/>
          <w:sz w:val="32"/>
          <w:szCs w:val="32"/>
          <w:lang w:val="en-US" w:eastAsia="zh-CN"/>
        </w:rPr>
        <w:t>2023年单位职工社保等增加，</w:t>
      </w:r>
      <w:r>
        <w:rPr>
          <w:rFonts w:hint="eastAsia" w:ascii="仿宋_GB2312" w:hAnsi="仿宋_GB2312" w:eastAsia="仿宋_GB2312"/>
          <w:sz w:val="32"/>
          <w:szCs w:val="32"/>
          <w:lang w:eastAsia="zh-CN"/>
        </w:rPr>
        <w:t>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）卫生健康支出（类）年初预算数3.63万元，决算数4.62万元，完成年初预算的127.28%。预决算差异主要原因：</w:t>
      </w:r>
      <w:r>
        <w:rPr>
          <w:rFonts w:hint="eastAsia" w:ascii="仿宋_GB2312" w:hAnsi="仿宋_GB2312" w:eastAsia="仿宋_GB2312"/>
          <w:sz w:val="32"/>
          <w:szCs w:val="32"/>
          <w:lang w:eastAsia="zh-CN"/>
        </w:rPr>
        <w:t>因</w:t>
      </w:r>
      <w:r>
        <w:rPr>
          <w:rFonts w:hint="eastAsia" w:ascii="仿宋_GB2312" w:hAnsi="仿宋_GB2312" w:eastAsia="仿宋_GB2312"/>
          <w:sz w:val="32"/>
          <w:szCs w:val="32"/>
          <w:lang w:val="en-US" w:eastAsia="zh-CN"/>
        </w:rPr>
        <w:t>2023年单位职工</w:t>
      </w:r>
      <w:r>
        <w:rPr>
          <w:rFonts w:hint="eastAsia" w:ascii="仿宋_GB2312" w:hAnsi="仿宋_GB2312" w:eastAsia="仿宋_GB2312"/>
          <w:sz w:val="32"/>
          <w:szCs w:val="32"/>
        </w:rPr>
        <w:t>卫生健康</w:t>
      </w:r>
      <w:r>
        <w:rPr>
          <w:rFonts w:hint="eastAsia" w:ascii="仿宋_GB2312" w:hAnsi="仿宋_GB2312" w:eastAsia="仿宋_GB2312"/>
          <w:sz w:val="32"/>
          <w:szCs w:val="32"/>
          <w:lang w:val="en-US" w:eastAsia="zh-CN"/>
        </w:rPr>
        <w:t>等增加，</w:t>
      </w:r>
      <w:r>
        <w:rPr>
          <w:rFonts w:hint="eastAsia" w:ascii="仿宋_GB2312" w:hAnsi="仿宋_GB2312" w:eastAsia="仿宋_GB2312"/>
          <w:sz w:val="32"/>
          <w:szCs w:val="32"/>
          <w:lang w:eastAsia="zh-CN"/>
        </w:rPr>
        <w:t>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）住房保障支出（类）年初预算数7.99万元，决算数7.99万元，完成年初预算的100.00%。</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本部门2023年度一般公共预算财政拨款基本支出79.88万元，其中：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（一）工资福利支出71.54万元，比上年减少13.27万元，下降15.65%，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（二）商品和服务支出7.34万元，比上年减少56.83万元，下降88.56%，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（三）对个人和家庭补助支出1.00万元，比上年增加1.00万元，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提高退休职工待遇</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本部门2023年度财政拨款“三公”经费支出全年预算数5.06万元，决算数5.06万元，完成全年预算的100.00%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决算数比上年增加0.02万元，</w:t>
      </w:r>
      <w:r>
        <w:rPr>
          <w:rFonts w:hint="eastAsia" w:ascii="仿宋_GB2312" w:hAnsi="仿宋_GB2312" w:eastAsia="仿宋_GB2312" w:cs="Times New Roman"/>
          <w:sz w:val="32"/>
          <w:szCs w:val="32"/>
        </w:rPr>
        <w:t>增长0.39%，</w:t>
      </w:r>
      <w:r>
        <w:rPr>
          <w:rFonts w:hint="eastAsia" w:ascii="仿宋_GB2312" w:hAnsi="仿宋_GB2312" w:eastAsia="仿宋_GB2312"/>
          <w:sz w:val="32"/>
          <w:szCs w:val="32"/>
        </w:rPr>
        <w:t>其中：</w:t>
      </w:r>
      <w:r>
        <w:rPr>
          <w:rFonts w:hint="eastAsia" w:ascii="仿宋_GB2312" w:hAnsi="仿宋_GB2312" w:eastAsia="仿宋_GB2312"/>
          <w:sz w:val="32"/>
          <w:szCs w:val="32"/>
          <w:lang w:eastAsia="zh-CN"/>
        </w:rPr>
        <w:t>开展活动增加故比上年决算数增长。</w:t>
      </w:r>
    </w:p>
    <w:p>
      <w:pPr>
        <w:ind w:firstLine="640" w:firstLineChars="200"/>
        <w:jc w:val="left"/>
        <w:rPr>
          <w:rFonts w:ascii="仿宋_GB2312" w:hAns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（一）因公出国（境）费全年预算数0.00万元，决算数0.00万元，</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主要原因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。决算数与上年持平</w:t>
      </w:r>
      <w:r>
        <w:rPr>
          <w:rFonts w:hint="eastAsia" w:ascii="仿宋_GB2312" w:hAnsi="仿宋_GB2312" w:eastAsia="仿宋_GB2312" w:cs="Times New Roman"/>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主要原因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。全年安排因公出国（境）团组0个，累计0人次，主要是：</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w:t>
      </w:r>
    </w:p>
    <w:p>
      <w:pPr>
        <w:ind w:firstLine="640" w:firstLineChars="200"/>
        <w:jc w:val="left"/>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（二）公务用车购置及运行维护费全年预算数1.50万元，决算数1.50万元，其中：</w:t>
      </w:r>
    </w:p>
    <w:p>
      <w:pPr>
        <w:ind w:firstLine="640" w:firstLineChars="200"/>
        <w:jc w:val="left"/>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公务用车购置全年预算数0.00万元，决算数0.00万元，</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主要原因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。决算数与上年持平,</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主要原因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b w:val="0"/>
          <w:bCs w:val="0"/>
          <w:color w:val="000000" w:themeColor="text1"/>
          <w:sz w:val="32"/>
          <w:szCs w:val="32"/>
          <w:shd w:val="clear" w:color="auto" w:fill="auto"/>
          <w:lang w:eastAsia="zh-CN"/>
          <w14:textFill>
            <w14:solidFill>
              <w14:schemeClr w14:val="tx1"/>
            </w14:solidFill>
          </w14:textFill>
        </w:rPr>
        <w:t>无</w:t>
      </w:r>
      <w:r>
        <w:rPr>
          <w:rFonts w:hint="eastAsia" w:ascii="仿宋_GB2312" w:hAnsi="仿宋_GB2312" w:eastAsia="仿宋_GB2312"/>
          <w:b w:val="0"/>
          <w:bCs w:val="0"/>
          <w:color w:val="000000" w:themeColor="text1"/>
          <w:sz w:val="32"/>
          <w:szCs w:val="32"/>
          <w:shd w:val="clear" w:color="auto" w:fill="auto"/>
          <w14:textFill>
            <w14:solidFill>
              <w14:schemeClr w14:val="tx1"/>
            </w14:solidFill>
          </w14:textFill>
        </w:rPr>
        <w:t>。全年使用财政拨款购置公务用车0辆。</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公务用车运行维护费全年预算数1.50万元，决算数1.50万元，完成全年预算的100.00%，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开展活动增加故比上年决算数持平</w:t>
      </w:r>
      <w:r>
        <w:rPr>
          <w:rFonts w:hint="eastAsia" w:ascii="仿宋_GB2312" w:hAnsi="仿宋_GB2312" w:eastAsia="仿宋_GB2312"/>
          <w:sz w:val="32"/>
          <w:szCs w:val="32"/>
        </w:rPr>
        <w:t>。决算数比上年增加0.08万元,</w:t>
      </w:r>
      <w:r>
        <w:rPr>
          <w:rFonts w:hint="eastAsia" w:ascii="仿宋_GB2312" w:hAnsi="仿宋_GB2312" w:eastAsia="仿宋_GB2312" w:cs="Times New Roman"/>
          <w:sz w:val="32"/>
          <w:szCs w:val="32"/>
        </w:rPr>
        <w:t>增长5.57%，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开展活动增加故比上年决算数有增长</w:t>
      </w:r>
      <w:r>
        <w:rPr>
          <w:rFonts w:hint="eastAsia" w:ascii="仿宋_GB2312" w:hAnsi="仿宋_GB2312" w:eastAsia="仿宋_GB2312"/>
          <w:sz w:val="32"/>
          <w:szCs w:val="32"/>
        </w:rPr>
        <w:t>。年末使用财政拨款负担费用的公务用车保有量1辆。</w:t>
      </w:r>
    </w:p>
    <w:p>
      <w:pPr>
        <w:numPr>
          <w:ilvl w:val="0"/>
          <w:numId w:val="1"/>
        </w:num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公务接待费全年预算数3.56万元，决算数3.56万元，</w:t>
      </w:r>
      <w:r>
        <w:rPr>
          <w:rFonts w:hint="eastAsia" w:ascii="仿宋_GB2312" w:hAnsi="仿宋_GB2312" w:eastAsia="仿宋_GB2312"/>
          <w:sz w:val="32"/>
          <w:szCs w:val="32"/>
          <w:lang w:eastAsia="zh-CN"/>
        </w:rPr>
        <w:t>其中：</w:t>
      </w:r>
    </w:p>
    <w:p>
      <w:pPr>
        <w:numPr>
          <w:ilvl w:val="0"/>
          <w:numId w:val="0"/>
        </w:numPr>
        <w:jc w:val="left"/>
        <w:rPr>
          <w:rFonts w:hint="eastAsia" w:ascii="仿宋_GB2312" w:hAnsi="仿宋_GB2312" w:eastAsia="仿宋_GB2312" w:cs="Times New Roman"/>
          <w:sz w:val="32"/>
          <w:szCs w:val="32"/>
        </w:rPr>
      </w:pPr>
      <w:r>
        <w:rPr>
          <w:rFonts w:hint="eastAsia" w:ascii="仿宋_GB2312" w:hAnsi="仿宋_GB2312" w:eastAsia="仿宋_GB2312"/>
          <w:sz w:val="32"/>
          <w:szCs w:val="32"/>
          <w:lang w:eastAsia="zh-CN"/>
        </w:rPr>
        <w:t>　　外事接待费决算数0.00万元，决算数与上年持平，增长0.00%，主要原因：无外事接待。全年外事接待0批，累计接待0人次，主要是：无外事接待；</w:t>
      </w:r>
      <w:r>
        <w:rPr>
          <w:rFonts w:hint="eastAsia" w:ascii="仿宋_GB2312" w:hAnsi="仿宋_GB2312" w:eastAsia="仿宋_GB2312"/>
          <w:sz w:val="32"/>
          <w:szCs w:val="32"/>
        </w:rPr>
        <w:t>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开展活动增加，培训多故比上年决算数持平</w:t>
      </w:r>
      <w:r>
        <w:rPr>
          <w:rFonts w:hint="eastAsia" w:ascii="仿宋_GB2312" w:hAnsi="仿宋_GB2312" w:eastAsia="仿宋_GB2312"/>
          <w:sz w:val="32"/>
          <w:szCs w:val="32"/>
        </w:rPr>
        <w:t>。决算数比上年减少0.06万元，下降1.64%,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。全年国内公务接待30批，累计接待226人次，主要是：</w:t>
      </w:r>
      <w:r>
        <w:rPr>
          <w:rFonts w:hint="eastAsia" w:ascii="仿宋_GB2312" w:hAnsi="仿宋_GB2312" w:eastAsia="仿宋_GB2312"/>
          <w:sz w:val="32"/>
          <w:szCs w:val="32"/>
          <w:lang w:eastAsia="zh-CN"/>
        </w:rPr>
        <w:t>按有相关文件，过紧日子．</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585"/>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本部门2023年度机关运行经费支出7.34万元，决算数比上年减少56.83万元，下降88.56%，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20"/>
        <w:spacing w:line="600" w:lineRule="atLeast"/>
        <w:ind w:firstLine="6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kern w:val="2"/>
          <w:sz w:val="32"/>
          <w:szCs w:val="32"/>
        </w:rPr>
        <w:t>本部门2023年度政府采购支出总额0.16万元，其中：政府采购货物支出0.16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w:t>
      </w:r>
      <w:r>
        <w:rPr>
          <w:rFonts w:hint="eastAsia" w:ascii="仿宋_GB2312" w:hAnsi="仿宋_GB2312" w:eastAsia="仿宋_GB2312"/>
          <w:color w:val="000000" w:themeColor="text1"/>
          <w:sz w:val="32"/>
          <w:szCs w:val="32"/>
          <w14:textFill>
            <w14:solidFill>
              <w14:schemeClr w14:val="tx1"/>
            </w14:solidFill>
          </w14:textFill>
        </w:rPr>
        <w:t>物采购授予中小企业合同金额占货物支出金额的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95.45</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个项目开展了部门评价，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分别为：科普专项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涉及一般公共预算支出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95.45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万元，政府性基金预算支出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万元，国有资本预算支出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万元。评价结果为“优”</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从评价情况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看</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360" w:lineRule="auto"/>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组织开展部门整体支出绩效评价，涉及一般公共预算支出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95.45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万元，政府性基金预算支出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0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评价结果为“</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优</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从评价情况看。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根据文件要求，本次纳入自评范围有6个项目，预算资金规模95.45万元。具体为：</w:t>
      </w:r>
    </w:p>
    <w:p>
      <w:pPr>
        <w:pStyle w:val="6"/>
        <w:keepNext w:val="0"/>
        <w:keepLines w:val="0"/>
        <w:pageBreakBefore w:val="0"/>
        <w:widowControl w:val="0"/>
        <w:kinsoku/>
        <w:wordWrap/>
        <w:overflowPunct/>
        <w:topLinePunct w:val="0"/>
        <w:autoSpaceDE/>
        <w:autoSpaceDN/>
        <w:bidi w:val="0"/>
        <w:adjustRightInd w:val="0"/>
        <w:snapToGrid/>
        <w:spacing w:line="120" w:lineRule="auto"/>
        <w:ind w:firstLine="512"/>
        <w:jc w:val="both"/>
        <w:textAlignment w:val="auto"/>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1、2023年科普专项55万元；</w:t>
      </w:r>
    </w:p>
    <w:p>
      <w:pPr>
        <w:pStyle w:val="6"/>
        <w:keepNext w:val="0"/>
        <w:keepLines w:val="0"/>
        <w:pageBreakBefore w:val="0"/>
        <w:widowControl w:val="0"/>
        <w:kinsoku/>
        <w:wordWrap/>
        <w:overflowPunct/>
        <w:topLinePunct w:val="0"/>
        <w:autoSpaceDE/>
        <w:autoSpaceDN/>
        <w:bidi w:val="0"/>
        <w:adjustRightInd w:val="0"/>
        <w:snapToGrid/>
        <w:spacing w:line="120" w:lineRule="auto"/>
        <w:ind w:firstLine="512"/>
        <w:jc w:val="both"/>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b w:val="0"/>
          <w:sz w:val="32"/>
          <w:szCs w:val="32"/>
          <w:highlight w:val="none"/>
          <w:lang w:val="en-US" w:eastAsia="zh-CN"/>
        </w:rPr>
        <w:t>11万元</w:t>
      </w:r>
      <w:r>
        <w:rPr>
          <w:rFonts w:hint="eastAsia" w:ascii="仿宋" w:hAnsi="仿宋" w:eastAsia="仿宋" w:cs="仿宋"/>
          <w:b w:val="0"/>
          <w:sz w:val="32"/>
          <w:szCs w:val="32"/>
          <w:highlight w:val="none"/>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3、退休职工财政配套职业年金6.28万元；</w:t>
      </w:r>
    </w:p>
    <w:p>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4、退休职工医保费0.90万元；</w:t>
      </w:r>
    </w:p>
    <w:p>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5、上级补助科普活动经费26.6万元；</w:t>
      </w:r>
    </w:p>
    <w:p>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6、其他收入资金37.67万元。</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（二）部门决算中项目绩效自评情况。</w:t>
      </w:r>
    </w:p>
    <w:p>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0" w:name="_Toc26374"/>
      <w:bookmarkStart w:id="1" w:name="_Toc1694"/>
      <w:bookmarkStart w:id="2" w:name="_Toc26048"/>
      <w:r>
        <w:rPr>
          <w:rFonts w:hint="eastAsia" w:ascii="仿宋" w:hAnsi="仿宋" w:eastAsia="仿宋" w:cs="仿宋"/>
          <w:sz w:val="32"/>
          <w:szCs w:val="32"/>
        </w:rPr>
        <w:t>（</w:t>
      </w:r>
      <w:r>
        <w:rPr>
          <w:rFonts w:hint="eastAsia" w:cs="仿宋"/>
          <w:sz w:val="32"/>
          <w:szCs w:val="32"/>
          <w:lang w:val="en-US" w:eastAsia="zh-CN"/>
        </w:rPr>
        <w:t>1</w:t>
      </w:r>
      <w:r>
        <w:rPr>
          <w:rFonts w:hint="eastAsia" w:ascii="仿宋" w:hAnsi="仿宋" w:eastAsia="仿宋" w:cs="仿宋"/>
          <w:sz w:val="32"/>
          <w:szCs w:val="32"/>
        </w:rPr>
        <w:t>）绩效评价目的</w:t>
      </w:r>
      <w:bookmarkEnd w:id="0"/>
      <w:bookmarkEnd w:id="1"/>
      <w:bookmarkEnd w:id="2"/>
    </w:p>
    <w:p>
      <w:pPr>
        <w:ind w:firstLine="640" w:firstLineChars="200"/>
        <w:rPr>
          <w:rFonts w:hint="eastAsia" w:ascii="仿宋" w:hAnsi="仿宋" w:eastAsia="仿宋" w:cs="仿宋"/>
          <w:b/>
          <w:sz w:val="32"/>
          <w:szCs w:val="32"/>
        </w:rPr>
      </w:pPr>
      <w:bookmarkStart w:id="3" w:name="_Toc6029"/>
      <w:bookmarkStart w:id="4" w:name="_Toc31921"/>
      <w:bookmarkStart w:id="5" w:name="_Toc24081"/>
      <w:r>
        <w:rPr>
          <w:rFonts w:hint="eastAsia" w:ascii="仿宋" w:hAnsi="仿宋" w:eastAsia="仿宋" w:cs="仿宋"/>
          <w:color w:val="000000"/>
          <w:kern w:val="0"/>
          <w:sz w:val="32"/>
          <w:szCs w:val="32"/>
        </w:rPr>
        <w:t>提升公民科学素质，是全面建成小康社会的重要支撑，是创造人民美好生活的重要保障。习近平总书记高度重视科技创新与科学普及，作出了一系列重要指示。在</w:t>
      </w:r>
      <w:r>
        <w:rPr>
          <w:rFonts w:hint="eastAsia" w:ascii="仿宋" w:hAnsi="仿宋" w:eastAsia="仿宋" w:cs="仿宋"/>
          <w:color w:val="000000"/>
          <w:kern w:val="0"/>
          <w:sz w:val="32"/>
          <w:szCs w:val="32"/>
          <w:lang w:eastAsia="zh-CN"/>
        </w:rPr>
        <w:t>党的</w:t>
      </w:r>
      <w:r>
        <w:rPr>
          <w:rFonts w:hint="eastAsia" w:ascii="仿宋" w:hAnsi="仿宋" w:eastAsia="仿宋" w:cs="仿宋"/>
          <w:color w:val="000000"/>
          <w:kern w:val="0"/>
          <w:sz w:val="32"/>
          <w:szCs w:val="32"/>
        </w:rPr>
        <w:t>十九大报告中指出，要倡导创新文化，弘扬科学精神，普及科学知识，加快建设学习型社会，大力提高国民素质；在全国“科技三会”上强调：“科技创新、科学普及是实现创新发展的两翼，要把科学普及放在与科技创新同等重要的位置。没有全民科学素质普遍提高，就难以建立起宏大的高素质创新大军，难以实现科技成果快速转化。”这为提升公民科学素质，推动创新发展指明了方向，提供了根本遵循。</w:t>
      </w:r>
    </w:p>
    <w:bookmarkEnd w:id="3"/>
    <w:bookmarkEnd w:id="4"/>
    <w:bookmarkEnd w:id="5"/>
    <w:p>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6" w:name="_Toc12212"/>
      <w:bookmarkStart w:id="7" w:name="_Toc15825"/>
      <w:bookmarkStart w:id="8" w:name="_Toc25213"/>
      <w:r>
        <w:rPr>
          <w:rFonts w:hint="eastAsia" w:ascii="仿宋" w:hAnsi="仿宋" w:eastAsia="仿宋" w:cs="仿宋"/>
          <w:sz w:val="32"/>
          <w:szCs w:val="32"/>
        </w:rPr>
        <w:t>（</w:t>
      </w:r>
      <w:r>
        <w:rPr>
          <w:rFonts w:hint="eastAsia" w:cs="仿宋"/>
          <w:sz w:val="32"/>
          <w:szCs w:val="32"/>
          <w:lang w:val="en-US" w:eastAsia="zh-CN"/>
        </w:rPr>
        <w:t>2</w:t>
      </w:r>
      <w:r>
        <w:rPr>
          <w:rFonts w:hint="eastAsia" w:ascii="仿宋" w:hAnsi="仿宋" w:eastAsia="仿宋" w:cs="仿宋"/>
          <w:sz w:val="32"/>
          <w:szCs w:val="32"/>
        </w:rPr>
        <w:t>）评分结果</w:t>
      </w:r>
      <w:bookmarkEnd w:id="6"/>
      <w:bookmarkEnd w:id="7"/>
      <w:bookmarkEnd w:id="8"/>
      <w:r>
        <w:rPr>
          <w:rFonts w:hint="eastAsia" w:ascii="仿宋" w:hAnsi="仿宋" w:eastAsia="仿宋" w:cs="仿宋"/>
          <w:sz w:val="32"/>
          <w:szCs w:val="32"/>
        </w:rPr>
        <w:t xml:space="preserve"> </w:t>
      </w:r>
    </w:p>
    <w:p>
      <w:pPr>
        <w:pStyle w:val="6"/>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sz w:val="32"/>
          <w:szCs w:val="32"/>
          <w:lang w:eastAsia="zh-CN"/>
        </w:rPr>
        <w:t>本单位</w:t>
      </w:r>
      <w:r>
        <w:rPr>
          <w:rFonts w:hint="eastAsia" w:ascii="仿宋" w:hAnsi="仿宋" w:eastAsia="仿宋" w:cs="仿宋"/>
          <w:b/>
          <w:bCs/>
          <w:sz w:val="32"/>
          <w:szCs w:val="32"/>
        </w:rPr>
        <w:t>围绕绩效评价指标体系，通过数据分析，实地检查及调查问卷等方式</w:t>
      </w:r>
      <w:r>
        <w:rPr>
          <w:rFonts w:hint="eastAsia" w:ascii="仿宋" w:hAnsi="仿宋" w:eastAsia="仿宋" w:cs="仿宋"/>
          <w:b/>
          <w:bCs/>
          <w:sz w:val="32"/>
          <w:szCs w:val="32"/>
          <w:highlight w:val="none"/>
        </w:rPr>
        <w:t>，对</w:t>
      </w:r>
      <w:r>
        <w:rPr>
          <w:rFonts w:hint="eastAsia" w:ascii="仿宋" w:hAnsi="仿宋" w:eastAsia="仿宋" w:cs="仿宋"/>
          <w:b w:val="0"/>
          <w:bCs w:val="0"/>
          <w:sz w:val="32"/>
          <w:szCs w:val="32"/>
          <w:highlight w:val="none"/>
          <w:lang w:val="en-US" w:eastAsia="zh-CN"/>
        </w:rPr>
        <w:t>6个</w:t>
      </w:r>
      <w:r>
        <w:rPr>
          <w:rFonts w:hint="eastAsia" w:ascii="仿宋" w:hAnsi="仿宋" w:eastAsia="仿宋" w:cs="仿宋"/>
          <w:b/>
          <w:bCs/>
          <w:sz w:val="32"/>
          <w:szCs w:val="32"/>
          <w:highlight w:val="none"/>
        </w:rPr>
        <w:t>项目的绩效进行了客观、公开的评价，绩效项目自评平均</w:t>
      </w:r>
      <w:r>
        <w:rPr>
          <w:rFonts w:hint="eastAsia" w:ascii="仿宋" w:hAnsi="仿宋" w:eastAsia="仿宋" w:cs="仿宋"/>
          <w:b/>
          <w:bCs/>
          <w:color w:val="auto"/>
          <w:sz w:val="32"/>
          <w:szCs w:val="32"/>
          <w:highlight w:val="none"/>
        </w:rPr>
        <w:t>分为</w:t>
      </w: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bCs/>
          <w:color w:val="auto"/>
          <w:sz w:val="32"/>
          <w:szCs w:val="32"/>
          <w:highlight w:val="none"/>
        </w:rPr>
        <w:t>分，评价等级为</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优</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w:t>
      </w:r>
    </w:p>
    <w:p>
      <w:pPr>
        <w:pStyle w:val="6"/>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　　6个</w:t>
      </w:r>
      <w:r>
        <w:rPr>
          <w:rFonts w:hint="eastAsia" w:ascii="仿宋" w:hAnsi="仿宋" w:eastAsia="仿宋" w:cs="仿宋"/>
          <w:b/>
          <w:bCs/>
          <w:sz w:val="32"/>
          <w:szCs w:val="32"/>
          <w:highlight w:val="none"/>
        </w:rPr>
        <w:t>绩效项目自评平</w:t>
      </w:r>
      <w:r>
        <w:rPr>
          <w:rFonts w:hint="eastAsia" w:ascii="仿宋" w:hAnsi="仿宋" w:eastAsia="仿宋" w:cs="仿宋"/>
          <w:b/>
          <w:bCs/>
          <w:sz w:val="32"/>
          <w:szCs w:val="32"/>
          <w:highlight w:val="none"/>
          <w:lang w:eastAsia="zh-CN"/>
        </w:rPr>
        <w:t>分具体如下：</w:t>
      </w:r>
    </w:p>
    <w:p>
      <w:pPr>
        <w:pStyle w:val="6"/>
        <w:ind w:firstLine="449"/>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1、2023年科普专项100分；优</w:t>
      </w:r>
    </w:p>
    <w:p>
      <w:pPr>
        <w:pStyle w:val="6"/>
        <w:numPr>
          <w:ilvl w:val="0"/>
          <w:numId w:val="2"/>
        </w:numPr>
        <w:ind w:firstLine="449"/>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b w:val="0"/>
          <w:sz w:val="32"/>
          <w:szCs w:val="32"/>
          <w:highlight w:val="none"/>
          <w:lang w:val="en-US" w:eastAsia="zh-CN"/>
        </w:rPr>
        <w:t>73.75分</w:t>
      </w:r>
      <w:r>
        <w:rPr>
          <w:rFonts w:hint="eastAsia" w:ascii="仿宋" w:hAnsi="仿宋" w:eastAsia="仿宋" w:cs="仿宋"/>
          <w:b w:val="0"/>
          <w:sz w:val="32"/>
          <w:szCs w:val="32"/>
          <w:highlight w:val="none"/>
        </w:rPr>
        <w:t>；</w:t>
      </w:r>
      <w:r>
        <w:rPr>
          <w:rFonts w:hint="eastAsia" w:ascii="仿宋" w:hAnsi="仿宋" w:eastAsia="仿宋" w:cs="仿宋"/>
          <w:b w:val="0"/>
          <w:sz w:val="32"/>
          <w:szCs w:val="32"/>
          <w:highlight w:val="none"/>
          <w:lang w:eastAsia="zh-CN"/>
        </w:rPr>
        <w:t>良</w:t>
      </w:r>
    </w:p>
    <w:p>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退休职工财政配套职业年金100分；优</w:t>
      </w:r>
    </w:p>
    <w:p>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退休职工医保费100分；优</w:t>
      </w:r>
    </w:p>
    <w:p>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上级补助科普活动经费99.73分；优</w:t>
      </w:r>
    </w:p>
    <w:p>
      <w:pPr>
        <w:pStyle w:val="6"/>
        <w:numPr>
          <w:ilvl w:val="0"/>
          <w:numId w:val="0"/>
        </w:numPr>
        <w:ind w:leftChars="100"/>
        <w:rPr>
          <w:rFonts w:hint="eastAsia" w:ascii="仿宋" w:hAnsi="仿宋" w:eastAsia="仿宋" w:cs="仿宋"/>
          <w:b/>
          <w:bCs/>
          <w:sz w:val="32"/>
          <w:szCs w:val="32"/>
        </w:rPr>
      </w:pPr>
      <w:r>
        <w:rPr>
          <w:rFonts w:hint="eastAsia" w:ascii="仿宋" w:hAnsi="仿宋" w:eastAsia="仿宋" w:cs="仿宋"/>
          <w:sz w:val="32"/>
          <w:szCs w:val="32"/>
          <w:lang w:val="en-US" w:eastAsia="zh-CN"/>
        </w:rPr>
        <w:t>　　6、其他收入经费95分．优</w:t>
      </w:r>
    </w:p>
    <w:p>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lang w:eastAsia="zh-CN"/>
        </w:rPr>
      </w:pPr>
      <w:bookmarkStart w:id="9" w:name="_Toc8203"/>
      <w:bookmarkStart w:id="10" w:name="_Toc4970"/>
      <w:bookmarkStart w:id="11" w:name="_Toc1038"/>
      <w:r>
        <w:rPr>
          <w:rFonts w:hint="eastAsia" w:ascii="仿宋" w:hAnsi="仿宋" w:eastAsia="仿宋" w:cs="仿宋"/>
          <w:sz w:val="32"/>
          <w:szCs w:val="32"/>
        </w:rPr>
        <w:t>（</w:t>
      </w:r>
      <w:r>
        <w:rPr>
          <w:rFonts w:hint="eastAsia" w:cs="仿宋"/>
          <w:sz w:val="32"/>
          <w:szCs w:val="32"/>
          <w:lang w:val="en-US" w:eastAsia="zh-CN"/>
        </w:rPr>
        <w:t>3</w:t>
      </w:r>
      <w:r>
        <w:rPr>
          <w:rFonts w:hint="eastAsia" w:ascii="仿宋" w:hAnsi="仿宋" w:eastAsia="仿宋" w:cs="仿宋"/>
          <w:sz w:val="32"/>
          <w:szCs w:val="32"/>
        </w:rPr>
        <w:t>）项目资金情况分析</w:t>
      </w:r>
      <w:bookmarkEnd w:id="9"/>
      <w:bookmarkEnd w:id="10"/>
      <w:bookmarkEnd w:id="11"/>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b w:val="0"/>
          <w:bCs w:val="0"/>
          <w:color w:val="000000"/>
          <w:spacing w:val="0"/>
          <w:kern w:val="2"/>
          <w:sz w:val="32"/>
          <w:szCs w:val="32"/>
          <w:highlight w:val="none"/>
          <w:lang w:val="en-US" w:eastAsia="zh-CN" w:bidi="ar-SA"/>
        </w:rPr>
        <w:t>2023年科普专项</w:t>
      </w:r>
      <w:r>
        <w:rPr>
          <w:rFonts w:hint="eastAsia" w:ascii="仿宋" w:hAnsi="仿宋" w:eastAsia="仿宋" w:cs="仿宋"/>
          <w:sz w:val="32"/>
          <w:szCs w:val="32"/>
          <w:highlight w:val="none"/>
          <w:lang w:eastAsia="zh-CN"/>
        </w:rPr>
        <w:t>项目支出预算资金总额为</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换届在</w:t>
      </w:r>
      <w:r>
        <w:rPr>
          <w:rFonts w:hint="eastAsia" w:ascii="仿宋" w:hAnsi="仿宋" w:eastAsia="仿宋" w:cs="仿宋"/>
          <w:sz w:val="32"/>
          <w:szCs w:val="32"/>
          <w:lang w:val="en-US" w:eastAsia="zh-CN"/>
        </w:rPr>
        <w:t>2023年年底召开，部分款项未及时结清，故执行率75％，2024年年初未结清款项已经全部落实到位．</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6.67</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退休职工财政配套职业年金</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退休职工医保费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上级补助科普活动经费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万元，经费支出预算资金执行率为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2023年科</w:t>
      </w:r>
      <w:r>
        <w:rPr>
          <w:rFonts w:hint="eastAsia" w:ascii="仿宋" w:hAnsi="仿宋" w:eastAsia="仿宋" w:cs="仿宋"/>
          <w:sz w:val="32"/>
          <w:szCs w:val="32"/>
          <w:lang w:val="en-US" w:eastAsia="zh-CN"/>
        </w:rPr>
        <w:t>其他收入经费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p>
    <w:p>
      <w:pPr>
        <w:pStyle w:val="3"/>
        <w:keepNext/>
        <w:keepLines/>
        <w:pageBreakBefore w:val="0"/>
        <w:widowControl w:val="0"/>
        <w:kinsoku/>
        <w:wordWrap/>
        <w:overflowPunct/>
        <w:topLinePunct w:val="0"/>
        <w:autoSpaceDE/>
        <w:autoSpaceDN/>
        <w:bidi w:val="0"/>
        <w:adjustRightInd/>
        <w:snapToGrid/>
        <w:spacing w:after="340" w:line="560" w:lineRule="exact"/>
        <w:ind w:firstLine="643" w:firstLineChars="200"/>
        <w:textAlignment w:val="auto"/>
        <w:rPr>
          <w:rFonts w:hint="eastAsia" w:ascii="仿宋" w:hAnsi="仿宋" w:eastAsia="仿宋" w:cs="仿宋"/>
          <w:b/>
          <w:sz w:val="32"/>
          <w:szCs w:val="32"/>
        </w:rPr>
      </w:pPr>
      <w:bookmarkStart w:id="12" w:name="_Toc2759"/>
      <w:bookmarkStart w:id="13" w:name="_Toc18281"/>
      <w:bookmarkStart w:id="14" w:name="_Toc3488"/>
      <w:r>
        <w:rPr>
          <w:rFonts w:hint="eastAsia" w:ascii="仿宋" w:hAnsi="仿宋" w:eastAsia="仿宋" w:cs="仿宋"/>
          <w:b/>
          <w:sz w:val="32"/>
          <w:szCs w:val="32"/>
          <w:lang w:val="en-US" w:eastAsia="zh-CN"/>
        </w:rPr>
        <w:t>(4)</w:t>
      </w:r>
      <w:r>
        <w:rPr>
          <w:rFonts w:hint="eastAsia" w:ascii="仿宋" w:hAnsi="仿宋" w:eastAsia="仿宋" w:cs="仿宋"/>
          <w:b/>
          <w:sz w:val="32"/>
          <w:szCs w:val="32"/>
        </w:rPr>
        <w:t>偏离绩效目标的原因和改进措施</w:t>
      </w:r>
      <w:bookmarkEnd w:id="12"/>
      <w:bookmarkEnd w:id="13"/>
      <w:bookmarkEnd w:id="14"/>
    </w:p>
    <w:p>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15" w:name="_Toc26922"/>
      <w:bookmarkStart w:id="16" w:name="_Toc19351"/>
      <w:bookmarkStart w:id="17" w:name="_Toc19473"/>
      <w:r>
        <w:rPr>
          <w:rFonts w:hint="eastAsia" w:ascii="仿宋" w:hAnsi="仿宋" w:eastAsia="仿宋" w:cs="仿宋"/>
          <w:sz w:val="32"/>
          <w:szCs w:val="32"/>
        </w:rPr>
        <w:t>（一）存在的主要问题</w:t>
      </w:r>
      <w:bookmarkEnd w:id="15"/>
      <w:bookmarkEnd w:id="16"/>
      <w:bookmarkEnd w:id="17"/>
      <w:r>
        <w:rPr>
          <w:rFonts w:hint="eastAsia" w:cs="仿宋"/>
          <w:sz w:val="32"/>
          <w:szCs w:val="32"/>
          <w:lang w:eastAsia="zh-CN"/>
        </w:rPr>
        <w:t>和</w:t>
      </w:r>
      <w:r>
        <w:rPr>
          <w:rFonts w:hint="eastAsia" w:ascii="仿宋" w:hAnsi="仿宋" w:eastAsia="仿宋" w:cs="仿宋"/>
          <w:sz w:val="32"/>
          <w:szCs w:val="32"/>
        </w:rPr>
        <w:t>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lang w:eastAsia="zh-CN"/>
        </w:rPr>
      </w:pPr>
      <w:r>
        <w:rPr>
          <w:rFonts w:hint="eastAsia" w:ascii="仿宋" w:hAnsi="仿宋" w:eastAsia="仿宋" w:cs="仿宋"/>
          <w:sz w:val="32"/>
          <w:szCs w:val="32"/>
        </w:rPr>
        <w:t>存在的主要问题</w:t>
      </w:r>
      <w:r>
        <w:rPr>
          <w:rFonts w:hint="eastAsia" w:ascii="仿宋" w:hAnsi="仿宋" w:eastAsia="仿宋" w:cs="仿宋"/>
          <w:sz w:val="32"/>
          <w:szCs w:val="32"/>
          <w:lang w:eastAsia="zh-CN"/>
        </w:rPr>
        <w:t>：</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1不合理，如单位换届会付款不及时。</w:t>
      </w:r>
      <w:bookmarkStart w:id="18" w:name="_Toc30538"/>
      <w:bookmarkStart w:id="19" w:name="_Toc6172"/>
      <w:r>
        <w:rPr>
          <w:rFonts w:hint="eastAsia" w:ascii="仿宋" w:hAnsi="仿宋" w:eastAsia="仿宋" w:cs="仿宋"/>
          <w:sz w:val="32"/>
          <w:szCs w:val="32"/>
        </w:rPr>
        <w:t>改进措施</w:t>
      </w:r>
      <w:r>
        <w:rPr>
          <w:rFonts w:hint="eastAsia" w:cs="仿宋"/>
          <w:sz w:val="32"/>
          <w:szCs w:val="32"/>
          <w:lang w:eastAsia="zh-CN"/>
        </w:rPr>
        <w:t>：</w:t>
      </w:r>
      <w:r>
        <w:rPr>
          <w:rFonts w:hint="eastAsia" w:ascii="仿宋" w:hAnsi="仿宋" w:eastAsia="仿宋" w:cs="仿宋"/>
          <w:b/>
          <w:color w:val="auto"/>
          <w:sz w:val="32"/>
          <w:szCs w:val="32"/>
          <w:lang w:val="en-US" w:eastAsia="zh-CN"/>
        </w:rPr>
        <w:t>加强资金使用的合理性</w:t>
      </w:r>
      <w:bookmarkEnd w:id="18"/>
      <w:bookmarkEnd w:id="19"/>
    </w:p>
    <w:p>
      <w:pPr>
        <w:pStyle w:val="3"/>
        <w:keepNext/>
        <w:keepLines/>
        <w:pageBreakBefore w:val="0"/>
        <w:widowControl w:val="0"/>
        <w:kinsoku/>
        <w:wordWrap/>
        <w:overflowPunct/>
        <w:topLinePunct w:val="0"/>
        <w:autoSpaceDE/>
        <w:autoSpaceDN/>
        <w:bidi w:val="0"/>
        <w:adjustRightInd/>
        <w:snapToGrid/>
        <w:spacing w:after="340" w:line="560" w:lineRule="exact"/>
        <w:textAlignment w:val="auto"/>
        <w:rPr>
          <w:rFonts w:hint="eastAsia" w:ascii="仿宋" w:hAnsi="仿宋" w:eastAsia="仿宋" w:cs="仿宋"/>
          <w:b/>
          <w:sz w:val="32"/>
          <w:szCs w:val="32"/>
        </w:rPr>
      </w:pPr>
      <w:bookmarkStart w:id="20" w:name="_Toc7712"/>
      <w:bookmarkStart w:id="21" w:name="_Toc27200"/>
      <w:bookmarkStart w:id="22" w:name="_Toc18950"/>
      <w:r>
        <w:rPr>
          <w:rFonts w:hint="eastAsia" w:ascii="仿宋" w:hAnsi="仿宋" w:eastAsia="仿宋" w:cs="仿宋"/>
          <w:b/>
          <w:sz w:val="32"/>
          <w:szCs w:val="32"/>
          <w:lang w:eastAsia="zh-CN"/>
        </w:rPr>
        <w:t>　　</w:t>
      </w:r>
      <w:r>
        <w:rPr>
          <w:rFonts w:hint="eastAsia" w:ascii="仿宋" w:hAnsi="仿宋" w:eastAsia="仿宋" w:cs="仿宋"/>
          <w:b/>
          <w:sz w:val="32"/>
          <w:szCs w:val="32"/>
          <w:lang w:val="en-US" w:eastAsia="zh-CN"/>
        </w:rPr>
        <w:t>(5)</w:t>
      </w:r>
      <w:r>
        <w:rPr>
          <w:rFonts w:hint="eastAsia" w:ascii="仿宋" w:hAnsi="仿宋" w:eastAsia="仿宋" w:cs="仿宋"/>
          <w:b/>
          <w:sz w:val="32"/>
          <w:szCs w:val="32"/>
        </w:rPr>
        <w:t>绩效自评结果应用和公开情况</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绩效自评结束后，</w:t>
      </w:r>
      <w:r>
        <w:rPr>
          <w:rFonts w:hint="eastAsia" w:ascii="仿宋" w:hAnsi="仿宋" w:eastAsia="仿宋" w:cs="仿宋"/>
          <w:color w:val="000000"/>
          <w:sz w:val="32"/>
          <w:szCs w:val="32"/>
          <w:lang w:eastAsia="zh-CN"/>
        </w:rPr>
        <w:t>县科协</w:t>
      </w:r>
      <w:r>
        <w:rPr>
          <w:rFonts w:hint="eastAsia" w:ascii="仿宋" w:hAnsi="仿宋" w:eastAsia="仿宋" w:cs="仿宋"/>
          <w:color w:val="000000"/>
          <w:sz w:val="32"/>
          <w:szCs w:val="32"/>
        </w:rPr>
        <w:t>将绩效自评结果充分运用到实际工作当中，不断提高资金使用绩效管理水平。一是及时将绩效评价结果反馈给项目单位，提出整改方案，落实整改措施，所有问题全部整改到位；二是将绩效评价结果应用于预算安排、完善政策和改进管理；三是将绩效目标和绩效评价结果按照政府信息公开要求进行公示，加强社会公众对财政资金使用效益的监督。</w:t>
      </w:r>
    </w:p>
    <w:p>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Times New Roman"/>
          <w:b/>
          <w:bCs/>
          <w:color w:val="000000" w:themeColor="text1"/>
          <w:sz w:val="32"/>
          <w:szCs w:val="32"/>
          <w14:textFill>
            <w14:solidFill>
              <w14:schemeClr w14:val="tx1"/>
            </w14:solidFill>
          </w14:textFill>
        </w:rPr>
        <w:t>信丰县科学技术协会</w:t>
      </w:r>
      <w:r>
        <w:rPr>
          <w:rFonts w:hint="eastAsia" w:ascii="仿宋_GB2312" w:hAnsi="仿宋_GB2312" w:eastAsia="仿宋_GB2312" w:cs="Times New Roman"/>
          <w:b/>
          <w:bCs/>
          <w:color w:val="000000" w:themeColor="text1"/>
          <w:sz w:val="32"/>
          <w:szCs w:val="32"/>
          <w:lang w:eastAsia="zh-CN"/>
          <w14:textFill>
            <w14:solidFill>
              <w14:schemeClr w14:val="tx1"/>
            </w14:solidFill>
          </w14:textFill>
        </w:rPr>
        <w:t>（</w:t>
      </w:r>
      <w:r>
        <w:rPr>
          <w:rFonts w:hint="eastAsia" w:ascii="仿宋_GB2312" w:hAnsi="仿宋_GB2312" w:eastAsia="仿宋_GB2312" w:cs="Times New Roman"/>
          <w:b/>
          <w:bCs/>
          <w:color w:val="000000" w:themeColor="text1"/>
          <w:sz w:val="32"/>
          <w:szCs w:val="32"/>
          <w:lang w:val="en-US" w:eastAsia="zh-CN"/>
          <w14:textFill>
            <w14:solidFill>
              <w14:schemeClr w14:val="tx1"/>
            </w14:solidFill>
          </w14:textFill>
        </w:rPr>
        <w:t>本级）</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宋体" w:hAnsi="宋体" w:cs="宋体"/>
          <w:b/>
          <w:bCs/>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14:textFill>
            <w14:solidFill>
              <w14:schemeClr w14:val="tx1"/>
            </w14:solidFill>
          </w14:textFill>
        </w:rPr>
        <w:t>项目支出绩效</w:t>
      </w:r>
      <w:r>
        <w:rPr>
          <w:rFonts w:hint="eastAsia" w:ascii="仿宋_GB2312" w:hAnsi="仿宋_GB2312" w:eastAsia="仿宋_GB2312" w:cs="仿宋_GB2312"/>
          <w:b/>
          <w:bCs/>
          <w:kern w:val="0"/>
          <w:sz w:val="32"/>
          <w:szCs w:val="32"/>
        </w:rPr>
        <w:t>自评</w:t>
      </w:r>
      <w:r>
        <w:rPr>
          <w:rFonts w:hint="eastAsia" w:ascii="仿宋_GB2312" w:hAnsi="仿宋_GB2312" w:eastAsia="仿宋_GB2312" w:cs="仿宋_GB2312"/>
          <w:b/>
          <w:bCs/>
          <w:kern w:val="0"/>
          <w:sz w:val="32"/>
          <w:szCs w:val="32"/>
          <w:lang w:val="en-US" w:eastAsia="zh-CN"/>
        </w:rPr>
        <w:t>表</w:t>
      </w:r>
      <w:r>
        <w:rPr>
          <w:rFonts w:hint="eastAsia" w:ascii="仿宋_GB2312" w:hAnsi="仿宋_GB2312" w:eastAsia="仿宋_GB2312" w:cs="仿宋_GB2312"/>
          <w:b/>
          <w:bCs/>
          <w:kern w:val="0"/>
          <w:sz w:val="32"/>
          <w:szCs w:val="32"/>
        </w:rPr>
        <w:t>”如下：</w:t>
      </w:r>
    </w:p>
    <w:p>
      <w:pPr>
        <w:autoSpaceDE w:val="0"/>
        <w:autoSpaceDN w:val="0"/>
        <w:adjustRightInd w:val="0"/>
        <w:spacing w:line="360" w:lineRule="auto"/>
        <w:ind w:firstLine="600"/>
        <w:jc w:val="left"/>
        <w:outlineLvl w:val="2"/>
      </w:pPr>
      <w:r>
        <w:drawing>
          <wp:inline distT="0" distB="0" distL="114300" distR="114300">
            <wp:extent cx="4981575" cy="7124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81575" cy="7124700"/>
                    </a:xfrm>
                    <a:prstGeom prst="rect">
                      <a:avLst/>
                    </a:prstGeom>
                    <a:noFill/>
                    <a:ln>
                      <a:noFill/>
                    </a:ln>
                  </pic:spPr>
                </pic:pic>
              </a:graphicData>
            </a:graphic>
          </wp:inline>
        </w:drawing>
      </w:r>
    </w:p>
    <w:p>
      <w:pPr>
        <w:pStyle w:val="2"/>
      </w:pPr>
      <w:r>
        <w:drawing>
          <wp:inline distT="0" distB="0" distL="114300" distR="114300">
            <wp:extent cx="3351530" cy="756031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351530" cy="7560310"/>
                    </a:xfrm>
                    <a:prstGeom prst="rect">
                      <a:avLst/>
                    </a:prstGeom>
                    <a:noFill/>
                    <a:ln>
                      <a:noFill/>
                    </a:ln>
                  </pic:spPr>
                </pic:pic>
              </a:graphicData>
            </a:graphic>
          </wp:inline>
        </w:drawing>
      </w:r>
    </w:p>
    <w:p>
      <w:pPr>
        <w:pStyle w:val="2"/>
      </w:pPr>
      <w:r>
        <w:drawing>
          <wp:inline distT="0" distB="0" distL="114300" distR="114300">
            <wp:extent cx="5272405" cy="4650740"/>
            <wp:effectExtent l="0" t="0" r="44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2405" cy="4650740"/>
                    </a:xfrm>
                    <a:prstGeom prst="rect">
                      <a:avLst/>
                    </a:prstGeom>
                    <a:noFill/>
                    <a:ln>
                      <a:noFill/>
                    </a:ln>
                  </pic:spPr>
                </pic:pic>
              </a:graphicData>
            </a:graphic>
          </wp:inline>
        </w:drawing>
      </w:r>
    </w:p>
    <w:p>
      <w:pPr>
        <w:pStyle w:val="2"/>
      </w:pPr>
      <w:r>
        <w:drawing>
          <wp:inline distT="0" distB="0" distL="114300" distR="114300">
            <wp:extent cx="5271135" cy="4740275"/>
            <wp:effectExtent l="0" t="0" r="571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1135" cy="4740275"/>
                    </a:xfrm>
                    <a:prstGeom prst="rect">
                      <a:avLst/>
                    </a:prstGeom>
                    <a:noFill/>
                    <a:ln>
                      <a:noFill/>
                    </a:ln>
                  </pic:spPr>
                </pic:pic>
              </a:graphicData>
            </a:graphic>
          </wp:inline>
        </w:drawing>
      </w:r>
    </w:p>
    <w:p>
      <w:pPr>
        <w:pStyle w:val="2"/>
      </w:pPr>
      <w:r>
        <w:drawing>
          <wp:inline distT="0" distB="0" distL="114300" distR="114300">
            <wp:extent cx="5210175" cy="7258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10175" cy="7258050"/>
                    </a:xfrm>
                    <a:prstGeom prst="rect">
                      <a:avLst/>
                    </a:prstGeom>
                    <a:noFill/>
                    <a:ln>
                      <a:noFill/>
                    </a:ln>
                  </pic:spPr>
                </pic:pic>
              </a:graphicData>
            </a:graphic>
          </wp:inline>
        </w:drawing>
      </w:r>
    </w:p>
    <w:p>
      <w:pPr>
        <w:pStyle w:val="2"/>
      </w:pPr>
      <w:r>
        <w:drawing>
          <wp:inline distT="0" distB="0" distL="114300" distR="114300">
            <wp:extent cx="5271770" cy="5190490"/>
            <wp:effectExtent l="0" t="0" r="508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1770" cy="5190490"/>
                    </a:xfrm>
                    <a:prstGeom prst="rect">
                      <a:avLst/>
                    </a:prstGeom>
                    <a:noFill/>
                    <a:ln>
                      <a:noFill/>
                    </a:ln>
                  </pic:spPr>
                </pic:pic>
              </a:graphicData>
            </a:graphic>
          </wp:inline>
        </w:drawing>
      </w:r>
    </w:p>
    <w:p>
      <w:pPr>
        <w:pStyle w:val="2"/>
        <w:rPr>
          <w:rFonts w:hint="eastAsia"/>
        </w:rPr>
      </w:pPr>
    </w:p>
    <w:p>
      <w:pPr>
        <w:autoSpaceDE w:val="0"/>
        <w:autoSpaceDN w:val="0"/>
        <w:adjustRightInd w:val="0"/>
        <w:spacing w:line="360" w:lineRule="auto"/>
        <w:ind w:firstLine="600"/>
        <w:jc w:val="left"/>
        <w:outlineLvl w:val="2"/>
        <w:rPr>
          <w:rFonts w:hint="eastAsia" w:ascii="仿宋" w:hAnsi="仿宋" w:eastAsia="仿宋" w:cs="仿宋_GB2312"/>
          <w:sz w:val="32"/>
          <w:szCs w:val="40"/>
        </w:rPr>
      </w:pPr>
      <w:r>
        <w:rPr>
          <w:rFonts w:hint="eastAsia" w:ascii="仿宋_GB2312" w:hAnsi="仿宋_GB2312" w:eastAsia="仿宋_GB2312" w:cs="仿宋_GB2312"/>
          <w:b/>
          <w:bCs/>
          <w:kern w:val="0"/>
          <w:sz w:val="32"/>
          <w:szCs w:val="32"/>
        </w:rPr>
        <w:t>（三）部门评价项目绩效评价情况。</w:t>
      </w:r>
    </w:p>
    <w:p>
      <w:pPr>
        <w:ind w:firstLine="640" w:firstLineChars="200"/>
        <w:rPr>
          <w:rFonts w:hint="eastAsia" w:ascii="宋体" w:hAnsi="宋体" w:cs="宋体"/>
          <w:b/>
          <w:bCs/>
          <w:sz w:val="44"/>
          <w:szCs w:val="44"/>
        </w:rPr>
      </w:pPr>
      <w:r>
        <w:rPr>
          <w:rFonts w:hint="eastAsia" w:ascii="仿宋_GB2312" w:eastAsia="仿宋_GB2312"/>
          <w:sz w:val="32"/>
          <w:szCs w:val="32"/>
        </w:rPr>
        <w:t>根据《中华人民共和国科学技术普及法》、《中国科协章程》和《全民科学素质行动计划纲要》, 赋予县科协指导与管理各种农村专业技术协会，开展学术交流，建设和管理科普场馆，推动科技创新，开展科普宣传和青少年科技教育，开展全民科学素质考核评价，服务科技经济融合和高质量发展，服务科技工作者，服务全民科学素质提升，服务党和政府科学决策等公共管理职能。</w:t>
      </w: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20"/>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本年收入科目</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一、2299999其他支出47</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24万元</w:t>
      </w:r>
      <w:r>
        <w:rPr>
          <w:rFonts w:hint="eastAsia" w:ascii="仿宋" w:hAnsi="仿宋" w:eastAsia="仿宋" w:cs="仿宋"/>
          <w:sz w:val="32"/>
          <w:szCs w:val="32"/>
          <w:lang w:val="en-US" w:eastAsia="zh-CN"/>
        </w:rPr>
        <w:t>;</w:t>
      </w:r>
    </w:p>
    <w:p>
      <w:p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二、2089999</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其他社会保障和就业支出0.03万元;</w:t>
      </w:r>
    </w:p>
    <w:p>
      <w:p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三、2060702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科普活动41,00万元；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四、2060799</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其他科学技术普及支出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0.20万元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五、2080505机关事业单位基本养老保险缴费支出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7.53万元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六、2080506</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机关事业单位职业年金缴费支出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6.28万元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七、2080501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行政单位离退休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0.75万元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八、2101102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事业单位医疗</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0.90万元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九、2101101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行政单位医疗</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3.71万元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十、2210201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住房公积金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7.99万元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十一、2060101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行政运行67.19万元</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十二、2060102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一般行政管理事务57.40万元</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2299999其他支出</w:t>
      </w:r>
      <w:r>
        <w:rPr>
          <w:rFonts w:hint="eastAsia" w:ascii="仿宋" w:hAnsi="仿宋" w:eastAsia="仿宋" w:cs="仿宋"/>
          <w:sz w:val="32"/>
          <w:szCs w:val="32"/>
        </w:rPr>
        <w:tab/>
      </w:r>
      <w:r>
        <w:rPr>
          <w:rFonts w:hint="eastAsia" w:ascii="仿宋" w:hAnsi="仿宋" w:eastAsia="仿宋" w:cs="仿宋"/>
          <w:sz w:val="32"/>
          <w:szCs w:val="32"/>
        </w:rPr>
        <w:t>37</w:t>
      </w:r>
      <w:r>
        <w:rPr>
          <w:rFonts w:hint="eastAsia" w:ascii="仿宋" w:hAnsi="仿宋" w:eastAsia="仿宋" w:cs="仿宋"/>
          <w:sz w:val="32"/>
          <w:szCs w:val="32"/>
          <w:lang w:eastAsia="zh-CN"/>
        </w:rPr>
        <w:t>．</w:t>
      </w:r>
      <w:r>
        <w:rPr>
          <w:rFonts w:hint="eastAsia" w:ascii="仿宋" w:hAnsi="仿宋" w:eastAsia="仿宋" w:cs="仿宋"/>
          <w:sz w:val="32"/>
          <w:szCs w:val="32"/>
        </w:rPr>
        <w:t>67</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2089999其他社会保障和就业支出</w:t>
      </w:r>
      <w:r>
        <w:rPr>
          <w:rFonts w:hint="eastAsia" w:ascii="仿宋" w:hAnsi="仿宋" w:eastAsia="仿宋" w:cs="仿宋"/>
          <w:sz w:val="32"/>
          <w:szCs w:val="32"/>
          <w:lang w:val="en-US" w:eastAsia="zh-CN"/>
        </w:rPr>
        <w:t>0.0</w:t>
      </w:r>
      <w:r>
        <w:rPr>
          <w:rFonts w:hint="eastAsia" w:ascii="仿宋" w:hAnsi="仿宋" w:eastAsia="仿宋" w:cs="仿宋"/>
          <w:sz w:val="32"/>
          <w:szCs w:val="32"/>
        </w:rPr>
        <w:t>3</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2060702科普活动</w:t>
      </w:r>
      <w:r>
        <w:rPr>
          <w:rFonts w:hint="eastAsia" w:ascii="仿宋" w:hAnsi="仿宋" w:eastAsia="仿宋" w:cs="仿宋"/>
          <w:sz w:val="32"/>
          <w:szCs w:val="32"/>
        </w:rPr>
        <w:tab/>
      </w:r>
      <w:r>
        <w:rPr>
          <w:rFonts w:hint="eastAsia" w:ascii="仿宋" w:hAnsi="仿宋" w:eastAsia="仿宋" w:cs="仿宋"/>
          <w:sz w:val="32"/>
          <w:szCs w:val="32"/>
        </w:rPr>
        <w:t>41</w:t>
      </w:r>
      <w:r>
        <w:rPr>
          <w:rFonts w:hint="eastAsia" w:ascii="仿宋" w:hAnsi="仿宋" w:eastAsia="仿宋" w:cs="仿宋"/>
          <w:sz w:val="32"/>
          <w:szCs w:val="32"/>
          <w:lang w:val="en-US" w:eastAsia="zh-CN"/>
        </w:rPr>
        <w:t>.</w:t>
      </w:r>
      <w:r>
        <w:rPr>
          <w:rFonts w:hint="eastAsia" w:ascii="仿宋" w:hAnsi="仿宋" w:eastAsia="仿宋" w:cs="仿宋"/>
          <w:sz w:val="32"/>
          <w:szCs w:val="32"/>
        </w:rPr>
        <w:t>09</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2060799其他科学技术普及支出</w:t>
      </w:r>
      <w:r>
        <w:rPr>
          <w:rFonts w:hint="eastAsia" w:ascii="仿宋" w:hAnsi="仿宋" w:eastAsia="仿宋" w:cs="仿宋"/>
          <w:sz w:val="32"/>
          <w:szCs w:val="32"/>
        </w:rPr>
        <w:tab/>
      </w:r>
      <w:r>
        <w:rPr>
          <w:rFonts w:hint="eastAsia" w:ascii="仿宋" w:hAnsi="仿宋" w:eastAsia="仿宋" w:cs="仿宋"/>
          <w:sz w:val="32"/>
          <w:szCs w:val="32"/>
          <w:lang w:val="en-US" w:eastAsia="zh-CN"/>
        </w:rPr>
        <w:t>0.</w:t>
      </w:r>
      <w:r>
        <w:rPr>
          <w:rFonts w:hint="eastAsia" w:ascii="仿宋" w:hAnsi="仿宋" w:eastAsia="仿宋" w:cs="仿宋"/>
          <w:sz w:val="32"/>
          <w:szCs w:val="32"/>
        </w:rPr>
        <w:t>2</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2080501行政单位离退休</w:t>
      </w:r>
      <w:r>
        <w:rPr>
          <w:rFonts w:hint="eastAsia" w:ascii="仿宋" w:hAnsi="仿宋" w:eastAsia="仿宋" w:cs="仿宋"/>
          <w:sz w:val="32"/>
          <w:szCs w:val="32"/>
          <w:lang w:val="en-US" w:eastAsia="zh-CN"/>
        </w:rPr>
        <w:t>0.</w:t>
      </w:r>
      <w:r>
        <w:rPr>
          <w:rFonts w:hint="eastAsia" w:ascii="仿宋" w:hAnsi="仿宋" w:eastAsia="仿宋" w:cs="仿宋"/>
          <w:sz w:val="32"/>
          <w:szCs w:val="32"/>
        </w:rPr>
        <w:t>75</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2080505机关事业单位基本养老保险缴费支出</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53</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2080506机关事业单位职业年金缴费支出</w:t>
      </w:r>
      <w:r>
        <w:rPr>
          <w:rFonts w:hint="eastAsia" w:ascii="仿宋" w:hAnsi="仿宋" w:eastAsia="仿宋" w:cs="仿宋"/>
          <w:sz w:val="32"/>
          <w:szCs w:val="32"/>
        </w:rPr>
        <w:tab/>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28</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2101102事业单位医疗</w:t>
      </w:r>
      <w:r>
        <w:rPr>
          <w:rFonts w:hint="eastAsia" w:ascii="仿宋" w:hAnsi="仿宋" w:eastAsia="仿宋" w:cs="仿宋"/>
          <w:sz w:val="32"/>
          <w:szCs w:val="32"/>
        </w:rPr>
        <w:tab/>
      </w:r>
      <w:r>
        <w:rPr>
          <w:rFonts w:hint="eastAsia" w:ascii="仿宋" w:hAnsi="仿宋" w:eastAsia="仿宋" w:cs="仿宋"/>
          <w:sz w:val="32"/>
          <w:szCs w:val="32"/>
          <w:lang w:val="en-US" w:eastAsia="zh-CN"/>
        </w:rPr>
        <w:t>0.</w:t>
      </w:r>
      <w:r>
        <w:rPr>
          <w:rFonts w:hint="eastAsia" w:ascii="仿宋" w:hAnsi="仿宋" w:eastAsia="仿宋" w:cs="仿宋"/>
          <w:sz w:val="32"/>
          <w:szCs w:val="32"/>
        </w:rPr>
        <w:t>90</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九、</w:t>
      </w:r>
      <w:r>
        <w:rPr>
          <w:rFonts w:hint="eastAsia" w:ascii="仿宋" w:hAnsi="仿宋" w:eastAsia="仿宋" w:cs="仿宋"/>
          <w:sz w:val="32"/>
          <w:szCs w:val="32"/>
        </w:rPr>
        <w:t>2101101行政单位医疗</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71</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rPr>
        <w:t>2210201住房公积金</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99</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十一、</w:t>
      </w:r>
      <w:r>
        <w:rPr>
          <w:rFonts w:hint="eastAsia" w:ascii="仿宋" w:hAnsi="仿宋" w:eastAsia="仿宋" w:cs="仿宋"/>
          <w:sz w:val="32"/>
          <w:szCs w:val="32"/>
        </w:rPr>
        <w:t>2060101</w:t>
      </w:r>
      <w:r>
        <w:rPr>
          <w:rFonts w:hint="eastAsia" w:ascii="仿宋" w:hAnsi="仿宋" w:eastAsia="仿宋" w:cs="仿宋"/>
          <w:sz w:val="32"/>
          <w:szCs w:val="32"/>
        </w:rPr>
        <w:tab/>
      </w:r>
      <w:r>
        <w:rPr>
          <w:rFonts w:hint="eastAsia" w:ascii="仿宋" w:hAnsi="仿宋" w:eastAsia="仿宋" w:cs="仿宋"/>
          <w:sz w:val="32"/>
          <w:szCs w:val="32"/>
        </w:rPr>
        <w:t>行政运行67</w:t>
      </w:r>
      <w:r>
        <w:rPr>
          <w:rFonts w:hint="eastAsia" w:ascii="仿宋" w:hAnsi="仿宋" w:eastAsia="仿宋" w:cs="仿宋"/>
          <w:sz w:val="32"/>
          <w:szCs w:val="32"/>
          <w:lang w:val="en-US" w:eastAsia="zh-CN"/>
        </w:rPr>
        <w:t>.</w:t>
      </w:r>
      <w:r>
        <w:rPr>
          <w:rFonts w:hint="eastAsia" w:ascii="仿宋" w:hAnsi="仿宋" w:eastAsia="仿宋" w:cs="仿宋"/>
          <w:sz w:val="32"/>
          <w:szCs w:val="32"/>
        </w:rPr>
        <w:t>19</w:t>
      </w:r>
      <w:r>
        <w:rPr>
          <w:rFonts w:hint="eastAsia" w:ascii="仿宋" w:hAnsi="仿宋" w:eastAsia="仿宋" w:cs="仿宋"/>
          <w:sz w:val="32"/>
          <w:szCs w:val="32"/>
          <w:lang w:eastAsia="zh-CN"/>
        </w:rPr>
        <w:t>万元；</w:t>
      </w:r>
    </w:p>
    <w:p>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十二、</w:t>
      </w:r>
      <w:r>
        <w:rPr>
          <w:rFonts w:hint="eastAsia" w:ascii="仿宋" w:hAnsi="仿宋" w:eastAsia="仿宋" w:cs="仿宋"/>
          <w:sz w:val="32"/>
          <w:szCs w:val="32"/>
        </w:rPr>
        <w:t>2060102</w:t>
      </w:r>
      <w:r>
        <w:rPr>
          <w:rFonts w:hint="eastAsia" w:ascii="仿宋" w:hAnsi="仿宋" w:eastAsia="仿宋" w:cs="仿宋"/>
          <w:sz w:val="32"/>
          <w:szCs w:val="32"/>
        </w:rPr>
        <w:tab/>
      </w:r>
      <w:r>
        <w:rPr>
          <w:rFonts w:hint="eastAsia" w:ascii="仿宋" w:hAnsi="仿宋" w:eastAsia="仿宋" w:cs="仿宋"/>
          <w:sz w:val="32"/>
          <w:szCs w:val="32"/>
        </w:rPr>
        <w:t>一般行政管理事务57</w:t>
      </w:r>
      <w:r>
        <w:rPr>
          <w:rFonts w:hint="eastAsia" w:ascii="仿宋" w:hAnsi="仿宋" w:eastAsia="仿宋" w:cs="仿宋"/>
          <w:sz w:val="32"/>
          <w:szCs w:val="32"/>
          <w:lang w:val="en-US" w:eastAsia="zh-CN"/>
        </w:rPr>
        <w:t>.</w:t>
      </w:r>
      <w:r>
        <w:rPr>
          <w:rFonts w:hint="eastAsia" w:ascii="仿宋" w:hAnsi="仿宋" w:eastAsia="仿宋" w:cs="仿宋"/>
          <w:sz w:val="32"/>
          <w:szCs w:val="32"/>
        </w:rPr>
        <w:t>40</w:t>
      </w:r>
      <w:r>
        <w:rPr>
          <w:rFonts w:hint="eastAsia" w:ascii="仿宋" w:hAnsi="仿宋" w:eastAsia="仿宋" w:cs="仿宋"/>
          <w:sz w:val="32"/>
          <w:szCs w:val="32"/>
          <w:lang w:eastAsia="zh-CN"/>
        </w:rPr>
        <w:t>万元</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jc w:val="center"/>
        <w:rPr>
          <w:rFonts w:hint="eastAsia" w:ascii="黑体" w:hAnsi="黑体" w:eastAsia="黑体"/>
          <w:b/>
          <w:bCs/>
          <w:sz w:val="44"/>
          <w:szCs w:val="44"/>
        </w:rPr>
      </w:pPr>
      <w:r>
        <w:rPr>
          <w:rFonts w:hint="eastAsia" w:ascii="黑体" w:hAnsi="黑体" w:eastAsia="黑体"/>
          <w:b/>
          <w:bCs/>
          <w:sz w:val="44"/>
          <w:szCs w:val="44"/>
        </w:rPr>
        <w:t>信丰县科协部门评价报告</w:t>
      </w:r>
    </w:p>
    <w:p>
      <w:pPr>
        <w:keepNext w:val="0"/>
        <w:keepLines w:val="0"/>
        <w:widowControl/>
        <w:suppressLineNumbers w:val="0"/>
        <w:jc w:val="left"/>
        <w:rPr>
          <w:rFonts w:ascii="黑体" w:hAnsi="黑体" w:eastAsia="黑体"/>
          <w:sz w:val="44"/>
          <w:szCs w:val="44"/>
        </w:rPr>
      </w:pPr>
    </w:p>
    <w:p>
      <w:pPr>
        <w:numPr>
          <w:ilvl w:val="0"/>
          <w:numId w:val="3"/>
        </w:numPr>
        <w:jc w:val="left"/>
        <w:rPr>
          <w:rFonts w:hint="eastAsia" w:ascii="仿宋" w:hAnsi="仿宋" w:eastAsia="仿宋" w:cs="仿宋_GB2312"/>
          <w:b/>
          <w:bCs/>
          <w:sz w:val="32"/>
          <w:szCs w:val="40"/>
        </w:rPr>
      </w:pPr>
      <w:r>
        <w:rPr>
          <w:rFonts w:hint="eastAsia" w:ascii="仿宋" w:hAnsi="仿宋" w:eastAsia="仿宋" w:cs="仿宋_GB2312"/>
          <w:b/>
          <w:bCs/>
          <w:sz w:val="32"/>
          <w:szCs w:val="40"/>
        </w:rPr>
        <w:t>基本情况</w:t>
      </w:r>
    </w:p>
    <w:p>
      <w:pPr>
        <w:numPr>
          <w:ilvl w:val="0"/>
          <w:numId w:val="4"/>
        </w:numPr>
        <w:jc w:val="left"/>
        <w:rPr>
          <w:rFonts w:hint="eastAsia" w:ascii="仿宋" w:hAnsi="仿宋" w:eastAsia="仿宋" w:cs="仿宋_GB2312"/>
          <w:sz w:val="32"/>
          <w:szCs w:val="40"/>
        </w:rPr>
      </w:pPr>
      <w:r>
        <w:rPr>
          <w:rFonts w:hint="eastAsia" w:ascii="仿宋" w:hAnsi="仿宋" w:eastAsia="仿宋" w:cs="仿宋_GB2312"/>
          <w:sz w:val="32"/>
          <w:szCs w:val="40"/>
        </w:rPr>
        <w:t>项目概况。包括项目背景、主要内容及实施情况、资金投入和使用情况等</w:t>
      </w:r>
    </w:p>
    <w:p>
      <w:pPr>
        <w:numPr>
          <w:ilvl w:val="0"/>
          <w:numId w:val="4"/>
        </w:numPr>
        <w:jc w:val="left"/>
        <w:rPr>
          <w:rFonts w:hint="eastAsia" w:ascii="仿宋" w:hAnsi="仿宋" w:eastAsia="仿宋" w:cs="仿宋_GB2312"/>
          <w:sz w:val="32"/>
          <w:szCs w:val="40"/>
        </w:rPr>
      </w:pPr>
      <w:bookmarkStart w:id="23" w:name="_GoBack"/>
      <w:bookmarkEnd w:id="23"/>
      <w:r>
        <w:rPr>
          <w:rFonts w:ascii="仿宋" w:hAnsi="仿宋" w:eastAsia="仿宋"/>
          <w:sz w:val="32"/>
          <w:szCs w:val="32"/>
        </w:rPr>
        <w:t>不断完善科普体系。全面扩大科普宣传，努力形成讲科学、爱科学、学科学、用科学的良好氛围，推动科普工作提质增效。</w:t>
      </w:r>
    </w:p>
    <w:p>
      <w:pPr>
        <w:numPr>
          <w:ilvl w:val="0"/>
          <w:numId w:val="4"/>
        </w:numPr>
        <w:jc w:val="left"/>
        <w:rPr>
          <w:rFonts w:hint="eastAsia" w:ascii="仿宋" w:hAnsi="仿宋" w:eastAsia="仿宋" w:cs="仿宋_GB2312"/>
          <w:sz w:val="32"/>
          <w:szCs w:val="40"/>
        </w:rPr>
      </w:pPr>
      <w:r>
        <w:rPr>
          <w:rFonts w:hint="eastAsia" w:ascii="仿宋" w:hAnsi="仿宋" w:eastAsia="仿宋" w:cs="仿宋_GB2312"/>
          <w:sz w:val="32"/>
          <w:szCs w:val="40"/>
        </w:rPr>
        <w:t>项目绩效目标。包括总体目标和阶段性目标</w:t>
      </w:r>
    </w:p>
    <w:p>
      <w:pPr>
        <w:ind w:firstLine="645"/>
        <w:rPr>
          <w:rFonts w:hint="eastAsia" w:ascii="仿宋_GB2312" w:eastAsia="仿宋_GB2312"/>
          <w:sz w:val="32"/>
          <w:szCs w:val="32"/>
        </w:rPr>
      </w:pPr>
      <w:r>
        <w:rPr>
          <w:rFonts w:hint="eastAsia" w:ascii="仿宋" w:hAnsi="仿宋" w:eastAsia="仿宋" w:cs="仿宋"/>
          <w:sz w:val="32"/>
          <w:szCs w:val="32"/>
        </w:rPr>
        <w:t>大力推动《信丰县2021-2025年全民科学素质高新实施方案》的全面实施。切实履行全民科学素质工作领导小组办公室职责，积极主动联合各成员单位，加强协作，完善机制，做好任务分解，创新工作方法，把科普工作融入到社会中去，切实提高四大人群的科学素质。</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 w:hAnsi="仿宋" w:eastAsia="仿宋" w:cs="仿宋_GB2312"/>
          <w:b/>
          <w:bCs/>
          <w:sz w:val="32"/>
          <w:szCs w:val="40"/>
        </w:rPr>
        <w:t>绩效评价工作开展情况</w:t>
      </w:r>
    </w:p>
    <w:p>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绩效评价目的、对象和范围</w:t>
      </w:r>
    </w:p>
    <w:p>
      <w:pPr>
        <w:ind w:firstLine="640" w:firstLineChars="200"/>
        <w:rPr>
          <w:rFonts w:ascii="仿宋_GB2312" w:eastAsia="仿宋_GB2312"/>
          <w:b/>
          <w:sz w:val="32"/>
          <w:szCs w:val="32"/>
        </w:rPr>
      </w:pPr>
      <w:r>
        <w:rPr>
          <w:rFonts w:hint="eastAsia" w:ascii="仿宋_GB2312" w:hAnsi="宋体" w:eastAsia="仿宋_GB2312" w:cs="Tahoma"/>
          <w:color w:val="000000"/>
          <w:kern w:val="0"/>
          <w:sz w:val="32"/>
          <w:szCs w:val="32"/>
        </w:rPr>
        <w:t>提升公民科学素质，是全面建成小康社会的重要支撑，是创造人民美好生活的重要保障。习近平总书记高度重视科技创新与科学普及，作出了一系列重要指示。在</w:t>
      </w:r>
      <w:r>
        <w:rPr>
          <w:rFonts w:hint="eastAsia" w:ascii="仿宋_GB2312" w:hAnsi="宋体" w:eastAsia="仿宋_GB2312" w:cs="Tahoma"/>
          <w:color w:val="000000"/>
          <w:kern w:val="0"/>
          <w:sz w:val="32"/>
          <w:szCs w:val="32"/>
          <w:lang w:eastAsia="zh-CN"/>
        </w:rPr>
        <w:t>党的</w:t>
      </w:r>
      <w:r>
        <w:rPr>
          <w:rFonts w:hint="eastAsia" w:ascii="仿宋_GB2312" w:hAnsi="宋体" w:eastAsia="仿宋_GB2312" w:cs="Tahoma"/>
          <w:color w:val="000000"/>
          <w:kern w:val="0"/>
          <w:sz w:val="32"/>
          <w:szCs w:val="32"/>
        </w:rPr>
        <w:t>十九大报告中指出，要倡导创新文化，弘扬科学精神，普及科学知识，加快建设学习型社会，大力提高国民素质；在全国“科技三会”上强调：“科技创新、科学普及是实现创新发展的两翼，要把科学普及放在与科技创新同等重要的位置。没有全民科学素质普遍提高，就难以建立起宏大的高素质创新大军，难以实现科技成果快速转化。”这为提升公民科学素质，推动创新发展指明了方向，提供了根本遵循。</w:t>
      </w:r>
    </w:p>
    <w:p>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绩效评价原则、评价指标体系（附表说明）、评价方法、评价标准等</w:t>
      </w:r>
    </w:p>
    <w:p>
      <w:pPr>
        <w:ind w:firstLine="640" w:firstLineChars="200"/>
        <w:rPr>
          <w:rFonts w:ascii="仿宋_GB2312" w:eastAsia="仿宋_GB2312"/>
          <w:sz w:val="32"/>
          <w:szCs w:val="32"/>
        </w:rPr>
      </w:pPr>
      <w:r>
        <w:rPr>
          <w:rFonts w:hint="eastAsia" w:ascii="仿宋_GB2312" w:eastAsia="仿宋_GB2312"/>
          <w:sz w:val="32"/>
          <w:szCs w:val="32"/>
        </w:rPr>
        <w:t>根据《中华人民共和国科学技术普及法》、《中国科协章程》和《全民科学素质行动计划纲要》, 赋予县科协指导与管理各种农村专业技术协会，开展学术交流，建设和管理科普场馆，推动科技创新，开展科普宣传和青少年科技教育，开展全民科学素质考核评价，服务科技经济融合和高质量发展，服务科技工作者，服务全民科学素质提升，服务党和政府科学决策等公共管理职能。</w:t>
      </w:r>
    </w:p>
    <w:p>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绩效评价工作过程</w:t>
      </w:r>
    </w:p>
    <w:p>
      <w:pPr>
        <w:spacing w:line="560" w:lineRule="exact"/>
        <w:ind w:firstLine="640" w:firstLineChars="200"/>
        <w:rPr>
          <w:rFonts w:hint="eastAsia" w:ascii="仿宋" w:hAnsi="仿宋" w:eastAsia="仿宋"/>
          <w:b w:val="0"/>
          <w:bCs w:val="0"/>
          <w:sz w:val="32"/>
          <w:szCs w:val="32"/>
          <w:lang w:eastAsia="zh-CN"/>
        </w:rPr>
      </w:pPr>
      <w:r>
        <w:rPr>
          <w:rFonts w:hint="eastAsia" w:ascii="仿宋_GB2312" w:eastAsia="仿宋_GB2312"/>
          <w:b w:val="0"/>
          <w:bCs w:val="0"/>
          <w:sz w:val="32"/>
          <w:szCs w:val="32"/>
        </w:rPr>
        <w:t>一是</w:t>
      </w:r>
      <w:r>
        <w:rPr>
          <w:rFonts w:hint="eastAsia" w:ascii="仿宋" w:hAnsi="仿宋" w:eastAsia="仿宋"/>
          <w:b w:val="0"/>
          <w:bCs w:val="0"/>
          <w:sz w:val="32"/>
          <w:szCs w:val="32"/>
        </w:rPr>
        <w:t>科普和科学素质建设成效显著</w:t>
      </w:r>
      <w:r>
        <w:rPr>
          <w:rFonts w:hint="eastAsia" w:ascii="仿宋" w:hAnsi="仿宋" w:eastAsia="仿宋"/>
          <w:b w:val="0"/>
          <w:bCs w:val="0"/>
          <w:sz w:val="32"/>
          <w:szCs w:val="32"/>
          <w:lang w:eastAsia="zh-CN"/>
        </w:rPr>
        <w:t>；二是</w:t>
      </w:r>
      <w:r>
        <w:rPr>
          <w:rFonts w:hint="eastAsia" w:ascii="仿宋" w:hAnsi="仿宋" w:eastAsia="仿宋"/>
          <w:b w:val="0"/>
          <w:bCs w:val="0"/>
          <w:sz w:val="32"/>
          <w:szCs w:val="32"/>
        </w:rPr>
        <w:t>科普活动和科技志愿服务丰富多样</w:t>
      </w:r>
      <w:r>
        <w:rPr>
          <w:rFonts w:hint="eastAsia" w:ascii="仿宋" w:hAnsi="仿宋" w:eastAsia="仿宋"/>
          <w:b w:val="0"/>
          <w:bCs w:val="0"/>
          <w:sz w:val="32"/>
          <w:szCs w:val="32"/>
          <w:lang w:eastAsia="zh-CN"/>
        </w:rPr>
        <w:t>；三是</w:t>
      </w:r>
      <w:r>
        <w:rPr>
          <w:rFonts w:hint="eastAsia" w:ascii="仿宋" w:hAnsi="仿宋" w:eastAsia="仿宋"/>
          <w:b w:val="0"/>
          <w:bCs w:val="0"/>
          <w:sz w:val="32"/>
          <w:szCs w:val="32"/>
        </w:rPr>
        <w:t>科协服务企业和人才工作再创佳绩</w:t>
      </w:r>
      <w:r>
        <w:rPr>
          <w:rFonts w:hint="eastAsia" w:ascii="仿宋" w:hAnsi="仿宋" w:eastAsia="仿宋"/>
          <w:b w:val="0"/>
          <w:bCs w:val="0"/>
          <w:sz w:val="32"/>
          <w:szCs w:val="32"/>
          <w:lang w:eastAsia="zh-CN"/>
        </w:rPr>
        <w:t>；四是</w:t>
      </w:r>
      <w:r>
        <w:rPr>
          <w:rFonts w:hint="eastAsia" w:ascii="仿宋" w:hAnsi="仿宋" w:eastAsia="仿宋"/>
          <w:b w:val="0"/>
          <w:bCs w:val="0"/>
          <w:sz w:val="32"/>
          <w:szCs w:val="32"/>
        </w:rPr>
        <w:t>科普示范创建工作全面推进</w:t>
      </w:r>
      <w:r>
        <w:rPr>
          <w:rFonts w:hint="eastAsia" w:ascii="仿宋" w:hAnsi="仿宋" w:eastAsia="仿宋"/>
          <w:b w:val="0"/>
          <w:bCs w:val="0"/>
          <w:sz w:val="32"/>
          <w:szCs w:val="32"/>
          <w:lang w:eastAsia="zh-CN"/>
        </w:rPr>
        <w:t>．</w:t>
      </w:r>
    </w:p>
    <w:p>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综合评价情况及评价结论（附相关评分表）</w:t>
      </w:r>
    </w:p>
    <w:p>
      <w:pPr>
        <w:ind w:firstLine="640" w:firstLineChars="200"/>
        <w:rPr>
          <w:rFonts w:ascii="仿宋_GB2312" w:eastAsia="仿宋_GB2312"/>
          <w:sz w:val="32"/>
          <w:szCs w:val="32"/>
        </w:rPr>
      </w:pPr>
      <w:r>
        <w:rPr>
          <w:rFonts w:hint="eastAsia" w:ascii="仿宋_GB2312" w:eastAsia="仿宋_GB2312"/>
          <w:sz w:val="32"/>
          <w:szCs w:val="32"/>
        </w:rPr>
        <w:t>1.组织开展学术交流、促进学科发展、提高全县科技的持续创新能力。</w:t>
      </w:r>
    </w:p>
    <w:p>
      <w:pPr>
        <w:ind w:firstLine="640" w:firstLineChars="200"/>
        <w:rPr>
          <w:rFonts w:ascii="仿宋_GB2312" w:eastAsia="仿宋_GB2312"/>
          <w:sz w:val="32"/>
          <w:szCs w:val="32"/>
        </w:rPr>
      </w:pPr>
      <w:r>
        <w:rPr>
          <w:rFonts w:hint="eastAsia" w:ascii="仿宋_GB2312" w:eastAsia="仿宋_GB2312"/>
          <w:sz w:val="32"/>
          <w:szCs w:val="32"/>
        </w:rPr>
        <w:t>2.拟定科普工作计划，并组织实施；动员社会各方面力量，普及科学技术知识、倡导科学方法、传播科学思想、弘扬科学精神，提高全县公众的科学文化素质。</w:t>
      </w:r>
    </w:p>
    <w:p>
      <w:pPr>
        <w:ind w:firstLine="640" w:firstLineChars="200"/>
        <w:rPr>
          <w:rFonts w:ascii="仿宋_GB2312" w:eastAsia="仿宋_GB2312"/>
          <w:sz w:val="32"/>
          <w:szCs w:val="32"/>
        </w:rPr>
      </w:pPr>
      <w:r>
        <w:rPr>
          <w:rFonts w:hint="eastAsia" w:ascii="仿宋_GB2312" w:eastAsia="仿宋_GB2312"/>
          <w:sz w:val="32"/>
          <w:szCs w:val="32"/>
        </w:rPr>
        <w:t xml:space="preserve">3.组织开展技术开发、技术转让、技术咨询和技术服务，促进科学技术成果的转化。 </w:t>
      </w:r>
    </w:p>
    <w:p>
      <w:pPr>
        <w:ind w:firstLine="640" w:firstLineChars="200"/>
        <w:rPr>
          <w:rFonts w:ascii="仿宋_GB2312" w:eastAsia="仿宋_GB2312"/>
          <w:sz w:val="32"/>
          <w:szCs w:val="32"/>
        </w:rPr>
      </w:pPr>
      <w:r>
        <w:rPr>
          <w:rFonts w:hint="eastAsia" w:ascii="仿宋_GB2312" w:eastAsia="仿宋_GB2312"/>
          <w:sz w:val="32"/>
          <w:szCs w:val="32"/>
        </w:rPr>
        <w:t xml:space="preserve">4.密切联系广大科技工作者，了解和反映科技工作者的意见和要求，维护科技工作者的合法权益。  </w:t>
      </w:r>
    </w:p>
    <w:p>
      <w:pPr>
        <w:ind w:firstLine="640" w:firstLineChars="200"/>
        <w:rPr>
          <w:rFonts w:ascii="仿宋_GB2312" w:eastAsia="仿宋_GB2312"/>
          <w:sz w:val="32"/>
          <w:szCs w:val="32"/>
        </w:rPr>
      </w:pPr>
      <w:r>
        <w:rPr>
          <w:rFonts w:hint="eastAsia" w:ascii="仿宋_GB2312" w:eastAsia="仿宋_GB2312"/>
          <w:sz w:val="32"/>
          <w:szCs w:val="32"/>
        </w:rPr>
        <w:t>5.负责对所属的县本级有关学（协）会和科技类社会团体进行监督管理。</w:t>
      </w:r>
    </w:p>
    <w:p>
      <w:pPr>
        <w:ind w:firstLine="640" w:firstLineChars="200"/>
        <w:rPr>
          <w:rFonts w:ascii="仿宋_GB2312" w:eastAsia="仿宋_GB2312"/>
          <w:sz w:val="32"/>
          <w:szCs w:val="32"/>
        </w:rPr>
      </w:pPr>
      <w:r>
        <w:rPr>
          <w:rFonts w:hint="eastAsia" w:ascii="仿宋_GB2312" w:eastAsia="仿宋_GB2312"/>
          <w:sz w:val="32"/>
          <w:szCs w:val="32"/>
        </w:rPr>
        <w:t>6.开展科学论证、决策咨询、提出政策建议，参与制定全县科技政策法规。</w:t>
      </w:r>
    </w:p>
    <w:p>
      <w:pPr>
        <w:ind w:firstLine="640" w:firstLineChars="200"/>
        <w:rPr>
          <w:rFonts w:ascii="仿宋_GB2312" w:eastAsia="仿宋_GB2312"/>
          <w:sz w:val="32"/>
          <w:szCs w:val="32"/>
        </w:rPr>
      </w:pPr>
      <w:r>
        <w:rPr>
          <w:rFonts w:hint="eastAsia" w:ascii="仿宋_GB2312" w:eastAsia="仿宋_GB2312"/>
          <w:sz w:val="32"/>
          <w:szCs w:val="32"/>
        </w:rPr>
        <w:t>7.指导基层和相关科普机构、团体开展科普活动。</w:t>
      </w:r>
    </w:p>
    <w:p>
      <w:pPr>
        <w:ind w:firstLine="640" w:firstLineChars="200"/>
        <w:rPr>
          <w:rFonts w:ascii="仿宋_GB2312" w:eastAsia="仿宋_GB2312"/>
          <w:sz w:val="32"/>
          <w:szCs w:val="32"/>
        </w:rPr>
      </w:pPr>
      <w:r>
        <w:rPr>
          <w:rFonts w:hint="eastAsia" w:ascii="仿宋_GB2312" w:eastAsia="仿宋_GB2312"/>
          <w:sz w:val="32"/>
          <w:szCs w:val="32"/>
        </w:rPr>
        <w:t>8.开展科技工作者继续教育、培训工作，发现和举荐优秀科技人才。</w:t>
      </w:r>
    </w:p>
    <w:p>
      <w:pPr>
        <w:ind w:firstLine="640" w:firstLineChars="200"/>
        <w:rPr>
          <w:rFonts w:ascii="仿宋_GB2312" w:eastAsia="仿宋_GB2312"/>
          <w:sz w:val="32"/>
          <w:szCs w:val="32"/>
        </w:rPr>
      </w:pPr>
      <w:r>
        <w:rPr>
          <w:rFonts w:hint="eastAsia" w:ascii="仿宋_GB2312" w:eastAsia="仿宋_GB2312"/>
          <w:sz w:val="32"/>
          <w:szCs w:val="32"/>
        </w:rPr>
        <w:t>9.完成上级部门布置的业务工作；完成县委、县政府和有关领导交办的其它工作。</w:t>
      </w:r>
    </w:p>
    <w:p>
      <w:pPr>
        <w:numPr>
          <w:ilvl w:val="0"/>
          <w:numId w:val="6"/>
        </w:numPr>
        <w:jc w:val="left"/>
        <w:rPr>
          <w:rFonts w:ascii="仿宋" w:hAnsi="仿宋" w:eastAsia="仿宋" w:cs="仿宋_GB2312"/>
          <w:b/>
          <w:bCs/>
          <w:sz w:val="32"/>
          <w:szCs w:val="40"/>
        </w:rPr>
      </w:pPr>
      <w:r>
        <w:rPr>
          <w:rFonts w:hint="eastAsia" w:ascii="仿宋" w:hAnsi="仿宋" w:eastAsia="仿宋" w:cs="仿宋_GB2312"/>
          <w:b/>
          <w:bCs/>
          <w:sz w:val="32"/>
          <w:szCs w:val="40"/>
        </w:rPr>
        <w:t>绩效评价指标分析</w:t>
      </w:r>
    </w:p>
    <w:p>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项目决策情况</w:t>
      </w:r>
    </w:p>
    <w:p>
      <w:pPr>
        <w:ind w:firstLine="640" w:firstLineChars="200"/>
        <w:jc w:val="left"/>
        <w:rPr>
          <w:rFonts w:ascii="仿宋_GB2312" w:eastAsia="仿宋_GB2312"/>
          <w:sz w:val="32"/>
          <w:szCs w:val="32"/>
        </w:rPr>
      </w:pPr>
      <w:r>
        <w:rPr>
          <w:rFonts w:hint="eastAsia" w:ascii="仿宋_GB2312" w:hAnsi="仿宋" w:eastAsia="仿宋_GB2312" w:cs="仿宋"/>
          <w:sz w:val="32"/>
          <w:szCs w:val="32"/>
        </w:rPr>
        <w:t>本单位科普专项安排落实、总投入55万元，执行率100%，</w:t>
      </w:r>
      <w:r>
        <w:rPr>
          <w:rFonts w:hint="eastAsia" w:ascii="仿宋_GB2312" w:eastAsia="仿宋_GB2312"/>
          <w:sz w:val="32"/>
          <w:szCs w:val="32"/>
        </w:rPr>
        <w:t>实际使用金额与预算金额持平。</w:t>
      </w:r>
    </w:p>
    <w:p>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项目过程情况</w:t>
      </w:r>
    </w:p>
    <w:p>
      <w:pPr>
        <w:ind w:firstLine="640" w:firstLineChars="200"/>
        <w:rPr>
          <w:rFonts w:ascii="仿宋_GB2312" w:eastAsia="仿宋_GB2312"/>
          <w:sz w:val="32"/>
          <w:szCs w:val="32"/>
        </w:rPr>
      </w:pPr>
      <w:r>
        <w:rPr>
          <w:rFonts w:hint="eastAsia" w:ascii="仿宋_GB2312" w:eastAsia="仿宋_GB2312"/>
          <w:sz w:val="32"/>
          <w:szCs w:val="32"/>
        </w:rPr>
        <w:t>根据项目建设计划和经费预算及项目运行方案，实施严格的项目管理。截止202</w:t>
      </w:r>
      <w:r>
        <w:rPr>
          <w:rFonts w:hint="eastAsia" w:ascii="仿宋_GB2312" w:eastAsia="仿宋_GB2312"/>
          <w:sz w:val="32"/>
          <w:szCs w:val="32"/>
          <w:lang w:val="en-US" w:eastAsia="zh-CN"/>
        </w:rPr>
        <w:t>3</w:t>
      </w:r>
      <w:r>
        <w:rPr>
          <w:rFonts w:hint="eastAsia" w:ascii="仿宋_GB2312" w:eastAsia="仿宋_GB2312"/>
          <w:sz w:val="32"/>
          <w:szCs w:val="32"/>
        </w:rPr>
        <w:t>年1</w:t>
      </w:r>
      <w:r>
        <w:rPr>
          <w:rFonts w:hint="eastAsia" w:ascii="仿宋_GB2312" w:eastAsia="仿宋_GB2312"/>
          <w:sz w:val="32"/>
          <w:szCs w:val="32"/>
          <w:lang w:val="en-US" w:eastAsia="zh-CN"/>
        </w:rPr>
        <w:t>2</w:t>
      </w:r>
      <w:r>
        <w:rPr>
          <w:rFonts w:hint="eastAsia" w:ascii="仿宋_GB2312" w:eastAsia="仿宋_GB2312"/>
          <w:sz w:val="32"/>
          <w:szCs w:val="32"/>
        </w:rPr>
        <w:t>月底项目基本已经全部实施完成，项目经费已全部支付。</w:t>
      </w:r>
    </w:p>
    <w:p>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项目产出情况</w:t>
      </w:r>
    </w:p>
    <w:p>
      <w:pPr>
        <w:widowControl/>
        <w:numPr>
          <w:ilvl w:val="0"/>
          <w:numId w:val="7"/>
        </w:numPr>
        <w:rPr>
          <w:rFonts w:ascii="仿宋_GB2312" w:eastAsia="仿宋_GB2312"/>
          <w:sz w:val="32"/>
          <w:szCs w:val="32"/>
        </w:rPr>
      </w:pPr>
      <w:r>
        <w:rPr>
          <w:rFonts w:hint="eastAsia" w:ascii="仿宋_GB2312" w:eastAsia="仿宋_GB2312"/>
          <w:sz w:val="32"/>
          <w:szCs w:val="32"/>
        </w:rPr>
        <w:t>科普示范村、基地、协会、社区、</w:t>
      </w:r>
      <w:r>
        <w:rPr>
          <w:rFonts w:hint="eastAsia" w:ascii="仿宋_GB2312" w:eastAsia="仿宋_GB2312"/>
          <w:sz w:val="32"/>
          <w:szCs w:val="32"/>
          <w:lang w:eastAsia="zh-CN"/>
        </w:rPr>
        <w:t>学校</w:t>
      </w:r>
      <w:r>
        <w:rPr>
          <w:rFonts w:hint="eastAsia" w:ascii="仿宋_GB2312" w:eastAsia="仿宋_GB2312"/>
          <w:sz w:val="32"/>
          <w:szCs w:val="32"/>
        </w:rPr>
        <w:t>建设费</w:t>
      </w:r>
      <w:r>
        <w:rPr>
          <w:rFonts w:hint="eastAsia" w:ascii="仿宋_GB2312" w:eastAsia="仿宋_GB2312"/>
          <w:sz w:val="32"/>
          <w:szCs w:val="32"/>
          <w:lang w:val="en-US" w:eastAsia="zh-CN"/>
        </w:rPr>
        <w:t>16</w:t>
      </w:r>
      <w:r>
        <w:rPr>
          <w:rFonts w:hint="eastAsia" w:ascii="仿宋_GB2312" w:eastAsia="仿宋_GB2312"/>
          <w:sz w:val="32"/>
          <w:szCs w:val="32"/>
        </w:rPr>
        <w:t>万元；乡村振兴点</w:t>
      </w:r>
      <w:r>
        <w:rPr>
          <w:rFonts w:hint="eastAsia" w:ascii="仿宋_GB2312" w:eastAsia="仿宋_GB2312"/>
          <w:sz w:val="32"/>
          <w:szCs w:val="32"/>
          <w:lang w:val="en-US" w:eastAsia="zh-CN"/>
        </w:rPr>
        <w:t>5</w:t>
      </w:r>
      <w:r>
        <w:rPr>
          <w:rFonts w:hint="eastAsia" w:ascii="仿宋_GB2312" w:eastAsia="仿宋_GB2312"/>
          <w:sz w:val="32"/>
          <w:szCs w:val="32"/>
        </w:rPr>
        <w:t>万元；全民科学素质提升培训工作1</w:t>
      </w:r>
      <w:r>
        <w:rPr>
          <w:rFonts w:hint="eastAsia" w:ascii="仿宋_GB2312" w:eastAsia="仿宋_GB2312"/>
          <w:sz w:val="32"/>
          <w:szCs w:val="32"/>
          <w:lang w:val="en-US" w:eastAsia="zh-CN"/>
        </w:rPr>
        <w:t>1</w:t>
      </w:r>
      <w:r>
        <w:rPr>
          <w:rFonts w:hint="eastAsia" w:ascii="仿宋_GB2312" w:eastAsia="仿宋_GB2312"/>
          <w:sz w:val="32"/>
          <w:szCs w:val="32"/>
        </w:rPr>
        <w:t>万元；聘请科普讲解员1</w:t>
      </w:r>
      <w:r>
        <w:rPr>
          <w:rFonts w:hint="eastAsia" w:ascii="仿宋_GB2312" w:eastAsia="仿宋_GB2312"/>
          <w:sz w:val="32"/>
          <w:szCs w:val="32"/>
          <w:lang w:val="en-US" w:eastAsia="zh-CN"/>
        </w:rPr>
        <w:t>3</w:t>
      </w:r>
      <w:r>
        <w:rPr>
          <w:rFonts w:hint="eastAsia" w:ascii="仿宋_GB2312" w:eastAsia="仿宋_GB2312"/>
          <w:sz w:val="32"/>
          <w:szCs w:val="32"/>
        </w:rPr>
        <w:t>万元；其他科普支出</w:t>
      </w:r>
      <w:r>
        <w:rPr>
          <w:rFonts w:hint="eastAsia" w:ascii="仿宋_GB2312" w:eastAsia="仿宋_GB2312"/>
          <w:sz w:val="32"/>
          <w:szCs w:val="32"/>
          <w:lang w:val="en-US" w:eastAsia="zh-CN"/>
        </w:rPr>
        <w:t>10</w:t>
      </w:r>
      <w:r>
        <w:rPr>
          <w:rFonts w:hint="eastAsia" w:ascii="仿宋_GB2312" w:eastAsia="仿宋_GB2312"/>
          <w:sz w:val="32"/>
          <w:szCs w:val="32"/>
        </w:rPr>
        <w:t>万元。</w:t>
      </w:r>
    </w:p>
    <w:p>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项目效益情况</w:t>
      </w:r>
    </w:p>
    <w:p>
      <w:pPr>
        <w:ind w:firstLine="640" w:firstLineChars="200"/>
        <w:rPr>
          <w:rFonts w:ascii="仿宋_GB2312" w:eastAsia="仿宋_GB2312"/>
          <w:sz w:val="32"/>
          <w:szCs w:val="32"/>
        </w:rPr>
      </w:pPr>
      <w:r>
        <w:rPr>
          <w:rFonts w:hint="eastAsia" w:ascii="仿宋_GB2312" w:eastAsia="仿宋_GB2312"/>
          <w:sz w:val="32"/>
          <w:szCs w:val="32"/>
        </w:rPr>
        <w:t>1、围绕高质量发展示范先行区，积极的开展科技助力工作，加大“高质量发展示范先行区”和科普培训的开展，助力信丰经济高速发展。</w:t>
      </w:r>
    </w:p>
    <w:p>
      <w:pPr>
        <w:ind w:firstLine="640" w:firstLineChars="200"/>
        <w:rPr>
          <w:rFonts w:ascii="仿宋_GB2312" w:eastAsia="仿宋_GB2312"/>
          <w:sz w:val="32"/>
          <w:szCs w:val="32"/>
        </w:rPr>
      </w:pPr>
      <w:r>
        <w:rPr>
          <w:rFonts w:hint="eastAsia" w:ascii="仿宋_GB2312" w:eastAsia="仿宋_GB2312"/>
          <w:sz w:val="32"/>
          <w:szCs w:val="32"/>
        </w:rPr>
        <w:t>2、深入贯彻实施《全民科学素质行动计划纲要》。继续开展以未成年人、农民、城镇劳动人口、领导干部和公务员社区居民为重点人群的科普工作，通过提高五大重点人群的科学素质，从而推动广大公众科学文化素质的提高。</w:t>
      </w:r>
    </w:p>
    <w:p>
      <w:pPr>
        <w:ind w:firstLine="640" w:firstLineChars="200"/>
        <w:rPr>
          <w:rFonts w:ascii="仿宋_GB2312" w:eastAsia="仿宋_GB2312"/>
          <w:sz w:val="32"/>
          <w:szCs w:val="32"/>
        </w:rPr>
      </w:pPr>
      <w:r>
        <w:rPr>
          <w:rFonts w:hint="eastAsia" w:ascii="仿宋_GB2312" w:eastAsia="仿宋_GB2312"/>
          <w:sz w:val="32"/>
          <w:szCs w:val="32"/>
        </w:rPr>
        <w:t>3、充分发挥科协作为科技工作者的桥梁与纽带作用，把科协建设成为“科技工作者”之家。加大农业科技普及应用，开展送科技下乡活动。</w:t>
      </w:r>
    </w:p>
    <w:p>
      <w:pPr>
        <w:ind w:firstLine="640" w:firstLineChars="200"/>
        <w:jc w:val="left"/>
        <w:rPr>
          <w:rFonts w:ascii="仿宋" w:hAnsi="仿宋" w:eastAsia="仿宋" w:cs="仿宋_GB2312"/>
          <w:sz w:val="32"/>
          <w:szCs w:val="40"/>
        </w:rPr>
      </w:pPr>
      <w:r>
        <w:rPr>
          <w:rFonts w:hint="eastAsia" w:ascii="仿宋_GB2312" w:eastAsia="仿宋_GB2312"/>
          <w:sz w:val="32"/>
          <w:szCs w:val="32"/>
        </w:rPr>
        <w:t>4、强化全社会科普意识和创新意识，弘扬科学精神，普及科学知识。要按照《全民科学素质行动计划纲要》，继续抓好科普系列活动继续实施“基层科普行动计划”工作。把“基层科普行动计划”和推进乡村振兴的重要措施来抓，抓好一批农村专业技术协会、农村科普示范基地和农村科普带头人，争取上级科普惠农项目和资金支持。以提高全民科学素质为着力点，服务好广大科技工作者，全面推动我县科协工作再上新台阶。</w:t>
      </w:r>
      <w:r>
        <w:rPr>
          <w:rFonts w:hint="eastAsia" w:ascii="仿宋" w:hAnsi="仿宋" w:eastAsia="仿宋" w:cs="仿宋_GB2312"/>
          <w:sz w:val="32"/>
          <w:szCs w:val="40"/>
        </w:rPr>
        <w:t>　</w:t>
      </w:r>
    </w:p>
    <w:p>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主要经验及做法、存在的问题及原因分析</w:t>
      </w:r>
    </w:p>
    <w:p>
      <w:pPr>
        <w:ind w:firstLine="555"/>
        <w:rPr>
          <w:rFonts w:hint="eastAsia" w:ascii="仿宋_GB2312" w:hAnsi="宋体" w:eastAsia="仿宋_GB2312" w:cs="宋体"/>
          <w:color w:val="000000"/>
          <w:kern w:val="0"/>
          <w:sz w:val="32"/>
          <w:szCs w:val="32"/>
        </w:rPr>
      </w:pPr>
      <w:r>
        <w:rPr>
          <w:rFonts w:hint="eastAsia" w:ascii="仿宋_GB2312" w:hAnsi="宋体" w:eastAsia="仿宋_GB2312"/>
          <w:color w:val="000000"/>
          <w:sz w:val="32"/>
          <w:szCs w:val="32"/>
        </w:rPr>
        <w:t>1、加强了软硬件设施建设，增强了全民科学素质组织服务能力。加大了科普阵地和设施建设力度，不断改善了工作条件，增强了工作手段和服务能力，</w:t>
      </w:r>
      <w:r>
        <w:rPr>
          <w:rFonts w:hint="eastAsia" w:ascii="仿宋_GB2312" w:hAnsi="宋体" w:eastAsia="仿宋_GB2312" w:cs="宋体"/>
          <w:color w:val="000000"/>
          <w:kern w:val="0"/>
          <w:sz w:val="32"/>
          <w:szCs w:val="32"/>
        </w:rPr>
        <w:t>充分发挥了了科普的作用，搭建科普平台，促进全民科学素质的明显提高；立足开展活动，为我县经济和社会发展作积极贡献。</w:t>
      </w:r>
    </w:p>
    <w:p>
      <w:pPr>
        <w:ind w:firstLine="555"/>
        <w:rPr>
          <w:rFonts w:ascii="仿宋_GB2312" w:eastAsia="仿宋_GB2312"/>
          <w:color w:val="000000"/>
          <w:sz w:val="32"/>
          <w:szCs w:val="32"/>
        </w:rPr>
      </w:pPr>
      <w:r>
        <w:rPr>
          <w:rFonts w:hint="eastAsia" w:ascii="仿宋_GB2312" w:eastAsia="仿宋_GB2312"/>
          <w:color w:val="000000"/>
          <w:sz w:val="32"/>
          <w:szCs w:val="32"/>
        </w:rPr>
        <w:t>2、各乡镇、各部门参与全民科学素质行动的积极性尚未充分调动起来。各相关成员单位之间的协调和交流机制尚待进一步完善。</w:t>
      </w:r>
    </w:p>
    <w:p>
      <w:pPr>
        <w:ind w:firstLine="555"/>
        <w:rPr>
          <w:rFonts w:hint="eastAsia" w:ascii="仿宋_GB2312" w:eastAsia="仿宋_GB2312"/>
          <w:color w:val="000000"/>
          <w:sz w:val="32"/>
          <w:szCs w:val="32"/>
        </w:rPr>
      </w:pPr>
      <w:r>
        <w:rPr>
          <w:rFonts w:hint="eastAsia" w:ascii="仿宋_GB2312" w:eastAsia="仿宋_GB2312"/>
          <w:color w:val="000000"/>
          <w:sz w:val="32"/>
          <w:szCs w:val="32"/>
        </w:rPr>
        <w:t>3、大多数群众对新产品、新技术、新成果接受能力差，科技示范推广难度大，科普队伍不全，学会不健全、协会规模小，层次底，专业技术人才匮乏，自主研发和科技创新能力不强。</w:t>
      </w:r>
    </w:p>
    <w:p>
      <w:pPr>
        <w:spacing w:line="560" w:lineRule="exact"/>
        <w:ind w:firstLine="640" w:firstLineChars="200"/>
      </w:pPr>
      <w:r>
        <w:rPr>
          <w:rFonts w:hint="eastAsia" w:ascii="仿宋" w:hAnsi="仿宋" w:eastAsia="仿宋"/>
          <w:sz w:val="32"/>
          <w:szCs w:val="32"/>
          <w:lang w:val="en-US" w:eastAsia="zh-CN"/>
        </w:rPr>
        <w:t>4、</w:t>
      </w:r>
      <w:r>
        <w:rPr>
          <w:rFonts w:ascii="仿宋" w:hAnsi="仿宋" w:eastAsia="仿宋"/>
          <w:sz w:val="32"/>
          <w:szCs w:val="32"/>
        </w:rPr>
        <w:t>主要体现在科普覆盖面不够广，偏远乡镇科普覆盖不够，全领域、全地域科普工作开展有差距。</w:t>
      </w:r>
    </w:p>
    <w:p>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有关建议</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加强对</w:t>
      </w:r>
      <w:r>
        <w:rPr>
          <w:rFonts w:hint="eastAsia" w:ascii="仿宋_GB2312" w:eastAsia="仿宋_GB2312"/>
          <w:color w:val="000000"/>
          <w:sz w:val="32"/>
          <w:szCs w:val="32"/>
        </w:rPr>
        <w:t>各乡镇、各部门参与全民科学素质行动的积极性尚未充分调动起来。对各相关成员单位之间的协调和交流机制尚待进一步完善。对大多数群众对新产品、新技术、新成果接受能力差，科技示范推广难度大，科普队伍不全，学会不健全、协会规模小，层次底，专业技术人才匮乏，自主研发和科技创新能力不强。加大宣传。</w:t>
      </w:r>
      <w:r>
        <w:rPr>
          <w:rFonts w:ascii="仿宋" w:hAnsi="仿宋" w:eastAsia="仿宋"/>
          <w:sz w:val="32"/>
          <w:szCs w:val="32"/>
        </w:rPr>
        <w:t>我们将在今后的工作中加以解决。</w:t>
      </w:r>
    </w:p>
    <w:p>
      <w:pPr>
        <w:numPr>
          <w:ilvl w:val="0"/>
          <w:numId w:val="6"/>
        </w:numPr>
        <w:jc w:val="left"/>
        <w:rPr>
          <w:rFonts w:ascii="仿宋" w:hAnsi="仿宋" w:eastAsia="仿宋" w:cs="仿宋_GB2312"/>
          <w:b/>
          <w:bCs/>
          <w:sz w:val="32"/>
          <w:szCs w:val="40"/>
        </w:rPr>
      </w:pPr>
      <w:r>
        <w:rPr>
          <w:rFonts w:hint="eastAsia" w:ascii="仿宋" w:hAnsi="仿宋" w:eastAsia="仿宋" w:cs="仿宋_GB2312"/>
          <w:b/>
          <w:bCs/>
          <w:sz w:val="32"/>
          <w:szCs w:val="40"/>
        </w:rPr>
        <w:t>其他需要说明的问题</w:t>
      </w:r>
    </w:p>
    <w:p>
      <w:pPr>
        <w:jc w:val="left"/>
        <w:rPr>
          <w:rFonts w:ascii="仿宋" w:hAnsi="仿宋" w:eastAsia="仿宋" w:cs="仿宋_GB2312"/>
          <w:sz w:val="32"/>
          <w:szCs w:val="40"/>
        </w:rPr>
      </w:pPr>
      <w:r>
        <w:rPr>
          <w:rFonts w:hint="eastAsia" w:ascii="仿宋" w:hAnsi="仿宋" w:eastAsia="仿宋" w:cs="仿宋_GB2312"/>
          <w:sz w:val="32"/>
          <w:szCs w:val="40"/>
        </w:rPr>
        <w:t xml:space="preserve">     无</w:t>
      </w:r>
    </w:p>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decorative"/>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9xLA7IAQAAmQMAAA4AAABkcnMv&#10;ZTJvRG9jLnhtbK1TzY7TMBC+I/EOlu/UaQ9QRU1Xu6oWISFAWngA17EbS/6Tx23SF4A34MSFO8/V&#10;52DsJF1YLnvg4oxnxt9838xkczNYQ04ygvauoctFRYl0wrfaHRr65fP9qzUlkLhrufFONvQsgd5s&#10;X77Y9KGWK99508pIEMRB3YeGdimFmjEQnbQcFj5Ih0Hlo+UJr/HA2sh7RLeGrarqNet9bEP0QgKg&#10;dzcG6YQYnwPoldJC7rw4WunSiBql4QklQacD0G1hq5QU6aNSIBMxDUWlqZxYBO19Ptl2w+tD5KHT&#10;YqLAn0PhiSbLtcOiV6gdT5wco/4HymoRPXiVFsJbNgopHUEVy+pJbx46HmTRgq2GcG06/D9Y8eH0&#10;KRLdNvQNJY5bHPjl+7fLj1+Xn1/JKrenD1Bj1kPAvDTc+QGXZvYDOrPqQUWbv6iHYBybe742Vw6J&#10;iPxovVqvKwwJjM0XxGePz0OE9FZ6S7LR0IjTK03lp/eQxtQ5JVdz/l4bUyZo3F8OxMwelrmPHLOV&#10;hv0wCdr79ox6ehx8Qx3uOSXmncO+5h2ZjTgb+9k4hqgPHVJbFl4Qbo8JSRRuucIIOxXGiRV103bl&#10;lfjzXrIe/6j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cSwOyAEAAJkDAAAOAAAAAAAA&#10;AAEAIAAAADQBAABkcnMvZTJvRG9jLnhtbFBLBQYAAAAABgAGAFkBAABuBQAAAAA=&#10;">
              <v:fill on="f" focussize="0,0"/>
              <v:stroke on="f"/>
              <v:imagedata o:title=""/>
              <o:lock v:ext="edit" aspectratio="f"/>
              <v:textbox inset="0mm,0mm,0mm,0mm" style="mso-fit-shape-to-text:t;">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lang w:val="en-US"/>
      </w:rPr>
    </w:lvl>
  </w:abstractNum>
  <w:abstractNum w:abstractNumId="2">
    <w:nsid w:val="C16935D7"/>
    <w:multiLevelType w:val="singleLevel"/>
    <w:tmpl w:val="C16935D7"/>
    <w:lvl w:ilvl="0" w:tentative="0">
      <w:start w:val="2"/>
      <w:numFmt w:val="decimal"/>
      <w:suff w:val="nothing"/>
      <w:lvlText w:val="%1、"/>
      <w:lvlJc w:val="left"/>
    </w:lvl>
  </w:abstractNum>
  <w:abstractNum w:abstractNumId="3">
    <w:nsid w:val="1E5008C2"/>
    <w:multiLevelType w:val="multilevel"/>
    <w:tmpl w:val="1E5008C2"/>
    <w:lvl w:ilvl="0" w:tentative="0">
      <w:start w:val="3"/>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307F09C7"/>
    <w:multiLevelType w:val="singleLevel"/>
    <w:tmpl w:val="307F09C7"/>
    <w:lvl w:ilvl="0" w:tentative="0">
      <w:start w:val="3"/>
      <w:numFmt w:val="chineseCounting"/>
      <w:suff w:val="nothing"/>
      <w:lvlText w:val="（%1）"/>
      <w:lvlJc w:val="left"/>
      <w:rPr>
        <w:rFonts w:hint="eastAsia"/>
      </w:rPr>
    </w:lvl>
  </w:abstractNum>
  <w:abstractNum w:abstractNumId="5">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6">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WQyZGUyYTBmNmQyZmU3ZDgwNDE4MzI1NjU5Y2YifQ=="/>
  </w:docVars>
  <w:rsids>
    <w:rsidRoot w:val="00000000"/>
    <w:rsid w:val="0E4F1A2E"/>
    <w:rsid w:val="115C5F48"/>
    <w:rsid w:val="1A1678A4"/>
    <w:rsid w:val="1DAD32C9"/>
    <w:rsid w:val="28002DF3"/>
    <w:rsid w:val="32F54CE1"/>
    <w:rsid w:val="37C14E9C"/>
    <w:rsid w:val="40980764"/>
    <w:rsid w:val="43BC0B61"/>
    <w:rsid w:val="455F7AA2"/>
    <w:rsid w:val="47F96E3C"/>
    <w:rsid w:val="4900334A"/>
    <w:rsid w:val="515A446D"/>
    <w:rsid w:val="5D8864C2"/>
    <w:rsid w:val="5DB55A6D"/>
    <w:rsid w:val="5EE74938"/>
    <w:rsid w:val="69B14962"/>
    <w:rsid w:val="70FD438D"/>
    <w:rsid w:val="75777D22"/>
    <w:rsid w:val="7D0F30D7"/>
    <w:rsid w:val="ED7F2E36"/>
    <w:rsid w:val="F7FCBF1E"/>
    <w:rsid w:val="FB4F686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ind w:firstLine="562"/>
      <w:outlineLvl w:val="1"/>
    </w:pPr>
    <w:rPr>
      <w:rFonts w:ascii="仿宋" w:hAnsi="仿宋" w:eastAsia="仿宋"/>
      <w:b/>
      <w:bCs/>
      <w:sz w:val="28"/>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eastAsia="宋体"/>
      <w:b/>
      <w:bCs/>
      <w:spacing w:val="-6"/>
      <w:sz w:val="44"/>
    </w:rPr>
  </w:style>
  <w:style w:type="paragraph" w:styleId="6">
    <w:name w:val="toc 2"/>
    <w:basedOn w:val="1"/>
    <w:next w:val="1"/>
    <w:unhideWhenUsed/>
    <w:qFormat/>
    <w:uiPriority w:val="39"/>
    <w:pPr>
      <w:tabs>
        <w:tab w:val="right" w:leader="dot" w:pos="8517"/>
      </w:tabs>
      <w:spacing w:line="500" w:lineRule="exact"/>
      <w:ind w:left="320" w:leftChars="100" w:firstLine="0"/>
    </w:pPr>
    <w:rPr>
      <w:rFonts w:ascii="仿宋" w:hAnsi="仿宋" w:eastAsia="仿宋" w:cs="Calibri"/>
      <w:smallCaps/>
      <w:sz w:val="28"/>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841</Words>
  <Characters>850</Characters>
  <Lines>119</Lines>
  <Paragraphs>33</Paragraphs>
  <TotalTime>39</TotalTime>
  <ScaleCrop>false</ScaleCrop>
  <LinksUpToDate>false</LinksUpToDate>
  <CharactersWithSpaces>869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2019-05-31T08:41:00Z</dcterms:created>
  <dc:creator>Administrator</dc:creator>
  <cp:lastModifiedBy>xts</cp:lastModifiedBy>
  <cp:lastPrinted>2024-05-22T23:51:00Z</cp:lastPrinted>
  <dcterms:modified xsi:type="dcterms:W3CDTF">2025-08-01T15:59:13Z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96D9D3B1DFA2AF59C9728C68F1856334_43</vt:lpwstr>
  </property>
  <property fmtid="{D5CDD505-2E9C-101B-9397-08002B2CF9AE}" pid="4" name="KSOTemplateDocerSaveRecord">
    <vt:lpwstr>eyJoZGlkIjoiZTFlNTczYTgwYTBmMzJhZTA0ZDFjMjUxZjYwMGQxYmIiLCJ1c2VySWQiOiI3MjEyNTkzIn0=</vt:lpwstr>
  </property>
</Properties>
</file>