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47B86" w:rsidRDefault="00000000">
      <w:pPr>
        <w:ind w:firstLineChars="600" w:firstLine="1928"/>
        <w:rPr>
          <w:rFonts w:ascii="仿宋" w:eastAsia="仿宋" w:hAnsi="仿宋" w:cs="仿宋"/>
          <w:b/>
          <w:bCs/>
          <w:sz w:val="36"/>
          <w:szCs w:val="36"/>
        </w:rPr>
      </w:pPr>
      <w:r>
        <w:rPr>
          <w:rFonts w:ascii="仿宋" w:eastAsia="仿宋" w:hAnsi="仿宋" w:cs="仿宋" w:hint="eastAsia"/>
          <w:b/>
          <w:bCs/>
          <w:sz w:val="32"/>
          <w:szCs w:val="32"/>
        </w:rPr>
        <w:t>部门整体支出绩效自评报告</w:t>
      </w:r>
    </w:p>
    <w:p w:rsidR="00947B86" w:rsidRDefault="00947B86">
      <w:pPr>
        <w:jc w:val="center"/>
        <w:rPr>
          <w:rFonts w:ascii="仿宋" w:eastAsia="仿宋" w:hAnsi="仿宋" w:cs="仿宋"/>
          <w:sz w:val="24"/>
        </w:rPr>
      </w:pPr>
    </w:p>
    <w:p w:rsidR="00947B86" w:rsidRDefault="00000000">
      <w:pPr>
        <w:jc w:val="left"/>
        <w:rPr>
          <w:rFonts w:ascii="仿宋" w:eastAsia="仿宋" w:hAnsi="仿宋" w:cs="仿宋"/>
          <w:b/>
          <w:bCs/>
          <w:sz w:val="30"/>
          <w:szCs w:val="30"/>
        </w:rPr>
      </w:pPr>
      <w:r>
        <w:rPr>
          <w:rFonts w:ascii="宋体" w:eastAsia="宋体" w:hAnsi="宋体" w:cs="宋体" w:hint="eastAsia"/>
          <w:sz w:val="30"/>
          <w:szCs w:val="30"/>
        </w:rPr>
        <w:t xml:space="preserve"> </w:t>
      </w:r>
      <w:r>
        <w:rPr>
          <w:rFonts w:ascii="仿宋" w:eastAsia="仿宋" w:hAnsi="仿宋" w:cs="仿宋" w:hint="eastAsia"/>
          <w:b/>
          <w:bCs/>
          <w:sz w:val="30"/>
          <w:szCs w:val="30"/>
        </w:rPr>
        <w:t xml:space="preserve"> 一、部门概况</w:t>
      </w:r>
    </w:p>
    <w:p w:rsidR="00947B86" w:rsidRDefault="00000000">
      <w:pPr>
        <w:jc w:val="left"/>
        <w:rPr>
          <w:rFonts w:ascii="仿宋" w:eastAsia="仿宋" w:hAnsi="仿宋" w:cs="仿宋"/>
          <w:b/>
          <w:bCs/>
          <w:sz w:val="30"/>
          <w:szCs w:val="30"/>
        </w:rPr>
      </w:pPr>
      <w:r>
        <w:rPr>
          <w:rFonts w:ascii="仿宋" w:eastAsia="仿宋" w:hAnsi="仿宋" w:cs="仿宋" w:hint="eastAsia"/>
          <w:b/>
          <w:bCs/>
          <w:sz w:val="30"/>
          <w:szCs w:val="30"/>
        </w:rPr>
        <w:t>（一）部门主要职责职能，组织架构、人员及资产等基本情况。</w:t>
      </w:r>
    </w:p>
    <w:p w:rsidR="00947B86" w:rsidRDefault="00000000">
      <w:pPr>
        <w:pStyle w:val="Bodytext1"/>
        <w:spacing w:line="637" w:lineRule="exact"/>
        <w:ind w:firstLine="640"/>
        <w:rPr>
          <w:rFonts w:ascii="仿宋" w:eastAsia="仿宋" w:hAnsi="仿宋" w:cs="仿宋"/>
          <w:sz w:val="30"/>
          <w:szCs w:val="30"/>
        </w:rPr>
      </w:pPr>
      <w:r>
        <w:rPr>
          <w:rFonts w:ascii="仿宋" w:eastAsia="仿宋" w:hAnsi="仿宋" w:cs="仿宋" w:hint="eastAsia"/>
          <w:color w:val="000000"/>
          <w:sz w:val="30"/>
          <w:szCs w:val="30"/>
        </w:rPr>
        <w:t>信丰县</w:t>
      </w:r>
      <w:r>
        <w:rPr>
          <w:rFonts w:ascii="仿宋" w:eastAsia="仿宋" w:hAnsi="仿宋" w:cs="仿宋" w:hint="eastAsia"/>
          <w:color w:val="000000"/>
          <w:sz w:val="30"/>
          <w:szCs w:val="30"/>
          <w:lang w:eastAsia="zh-CN"/>
        </w:rPr>
        <w:t>住房和城乡建设</w:t>
      </w:r>
      <w:r>
        <w:rPr>
          <w:rFonts w:ascii="仿宋" w:eastAsia="仿宋" w:hAnsi="仿宋" w:cs="仿宋" w:hint="eastAsia"/>
          <w:color w:val="000000"/>
          <w:sz w:val="30"/>
          <w:szCs w:val="30"/>
        </w:rPr>
        <w:t>局由机关本级</w:t>
      </w:r>
      <w:r>
        <w:rPr>
          <w:rFonts w:ascii="仿宋" w:eastAsia="仿宋" w:hAnsi="仿宋" w:cs="仿宋" w:hint="eastAsia"/>
          <w:color w:val="000000"/>
          <w:sz w:val="30"/>
          <w:szCs w:val="30"/>
          <w:lang w:eastAsia="zh-CN"/>
        </w:rPr>
        <w:t>、</w:t>
      </w:r>
      <w:r>
        <w:rPr>
          <w:rFonts w:ascii="仿宋" w:eastAsia="仿宋" w:hAnsi="仿宋" w:cs="仿宋" w:hint="eastAsia"/>
          <w:color w:val="000000"/>
          <w:sz w:val="30"/>
          <w:szCs w:val="30"/>
        </w:rPr>
        <w:t>信丰县</w:t>
      </w:r>
      <w:r>
        <w:rPr>
          <w:rFonts w:ascii="仿宋" w:eastAsia="仿宋" w:hAnsi="仿宋" w:cs="仿宋" w:hint="eastAsia"/>
          <w:color w:val="000000"/>
          <w:sz w:val="30"/>
          <w:szCs w:val="30"/>
          <w:lang w:eastAsia="zh-CN"/>
        </w:rPr>
        <w:t>技术保障中心</w:t>
      </w:r>
      <w:r>
        <w:rPr>
          <w:rFonts w:ascii="仿宋" w:eastAsia="仿宋" w:hAnsi="仿宋" w:cs="仿宋" w:hint="eastAsia"/>
          <w:color w:val="000000"/>
          <w:sz w:val="30"/>
          <w:szCs w:val="30"/>
        </w:rPr>
        <w:t>、信丰县</w:t>
      </w:r>
      <w:r>
        <w:rPr>
          <w:rFonts w:ascii="仿宋" w:eastAsia="仿宋" w:hAnsi="仿宋" w:cs="仿宋" w:hint="eastAsia"/>
          <w:color w:val="000000"/>
          <w:sz w:val="30"/>
          <w:szCs w:val="30"/>
          <w:lang w:eastAsia="zh-CN"/>
        </w:rPr>
        <w:t>住房保障中心等</w:t>
      </w:r>
      <w:r>
        <w:rPr>
          <w:rFonts w:ascii="仿宋" w:eastAsia="仿宋" w:hAnsi="仿宋" w:cs="仿宋" w:hint="eastAsia"/>
          <w:color w:val="000000"/>
          <w:sz w:val="30"/>
          <w:szCs w:val="30"/>
        </w:rPr>
        <w:t>单位组成，</w:t>
      </w:r>
      <w:r>
        <w:rPr>
          <w:rFonts w:ascii="仿宋" w:eastAsia="仿宋" w:hAnsi="仿宋" w:cs="仿宋" w:hint="eastAsia"/>
          <w:color w:val="000000"/>
          <w:sz w:val="30"/>
          <w:szCs w:val="30"/>
          <w:lang w:eastAsia="zh-CN"/>
        </w:rPr>
        <w:t>目前合并预决算，未单独列支。</w:t>
      </w:r>
    </w:p>
    <w:p w:rsidR="00947B86" w:rsidRDefault="00000000">
      <w:pPr>
        <w:pStyle w:val="Bodytext1"/>
        <w:spacing w:after="100" w:line="612" w:lineRule="exact"/>
        <w:ind w:firstLine="640"/>
        <w:rPr>
          <w:rFonts w:ascii="仿宋" w:eastAsia="仿宋" w:hAnsi="仿宋" w:cs="仿宋"/>
          <w:sz w:val="30"/>
          <w:szCs w:val="30"/>
          <w:lang w:val="en-US" w:eastAsia="zh-CN"/>
        </w:rPr>
      </w:pPr>
      <w:r>
        <w:rPr>
          <w:rFonts w:ascii="仿宋" w:eastAsia="仿宋" w:hAnsi="仿宋" w:cs="仿宋" w:hint="eastAsia"/>
          <w:color w:val="000000"/>
          <w:sz w:val="30"/>
          <w:szCs w:val="30"/>
          <w:lang w:eastAsia="zh-CN"/>
        </w:rPr>
        <w:t>截</w:t>
      </w:r>
      <w:r>
        <w:rPr>
          <w:rFonts w:ascii="仿宋" w:eastAsia="仿宋" w:hAnsi="仿宋" w:cs="仿宋" w:hint="eastAsia"/>
          <w:color w:val="000000"/>
          <w:sz w:val="30"/>
          <w:szCs w:val="30"/>
        </w:rPr>
        <w:t>至20</w:t>
      </w:r>
      <w:r>
        <w:rPr>
          <w:rFonts w:ascii="仿宋" w:eastAsia="仿宋" w:hAnsi="仿宋" w:cs="仿宋" w:hint="eastAsia"/>
          <w:color w:val="000000"/>
          <w:sz w:val="30"/>
          <w:szCs w:val="30"/>
          <w:lang w:val="en-US" w:eastAsia="zh-CN"/>
        </w:rPr>
        <w:t>20</w:t>
      </w:r>
      <w:r>
        <w:rPr>
          <w:rFonts w:ascii="仿宋" w:eastAsia="仿宋" w:hAnsi="仿宋" w:cs="仿宋" w:hint="eastAsia"/>
          <w:color w:val="000000"/>
          <w:sz w:val="30"/>
          <w:szCs w:val="30"/>
        </w:rPr>
        <w:t>年底，我局共计</w:t>
      </w:r>
      <w:r>
        <w:rPr>
          <w:rFonts w:ascii="仿宋" w:eastAsia="仿宋" w:hAnsi="仿宋" w:cs="仿宋" w:hint="eastAsia"/>
          <w:color w:val="000000"/>
          <w:sz w:val="30"/>
          <w:szCs w:val="30"/>
          <w:lang w:eastAsia="zh-CN"/>
        </w:rPr>
        <w:t>在编</w:t>
      </w:r>
      <w:r>
        <w:rPr>
          <w:rFonts w:ascii="仿宋" w:eastAsia="仿宋" w:hAnsi="仿宋" w:cs="仿宋" w:hint="eastAsia"/>
          <w:color w:val="000000"/>
          <w:sz w:val="30"/>
          <w:szCs w:val="30"/>
        </w:rPr>
        <w:t>在职人员</w:t>
      </w:r>
      <w:r>
        <w:rPr>
          <w:rFonts w:ascii="仿宋" w:eastAsia="仿宋" w:hAnsi="仿宋" w:cs="仿宋" w:hint="eastAsia"/>
          <w:color w:val="000000"/>
          <w:sz w:val="30"/>
          <w:szCs w:val="30"/>
          <w:lang w:val="en-US" w:eastAsia="zh-CN"/>
        </w:rPr>
        <w:t>143</w:t>
      </w:r>
      <w:r>
        <w:rPr>
          <w:rFonts w:ascii="仿宋" w:eastAsia="仿宋" w:hAnsi="仿宋" w:cs="仿宋" w:hint="eastAsia"/>
          <w:color w:val="000000"/>
          <w:sz w:val="30"/>
          <w:szCs w:val="30"/>
        </w:rPr>
        <w:t>人，行政人员</w:t>
      </w:r>
      <w:r>
        <w:rPr>
          <w:rFonts w:ascii="仿宋" w:eastAsia="仿宋" w:hAnsi="仿宋" w:cs="仿宋" w:hint="eastAsia"/>
          <w:color w:val="000000"/>
          <w:sz w:val="30"/>
          <w:szCs w:val="30"/>
          <w:lang w:val="en-US" w:eastAsia="zh-CN"/>
        </w:rPr>
        <w:t>12</w:t>
      </w:r>
      <w:r>
        <w:rPr>
          <w:rFonts w:ascii="仿宋" w:eastAsia="仿宋" w:hAnsi="仿宋" w:cs="仿宋" w:hint="eastAsia"/>
          <w:color w:val="000000"/>
          <w:sz w:val="30"/>
          <w:szCs w:val="30"/>
        </w:rPr>
        <w:t>人，</w:t>
      </w:r>
      <w:r>
        <w:rPr>
          <w:rFonts w:ascii="仿宋" w:eastAsia="仿宋" w:hAnsi="仿宋" w:cs="仿宋" w:hint="eastAsia"/>
          <w:color w:val="000000"/>
          <w:sz w:val="30"/>
          <w:szCs w:val="30"/>
          <w:lang w:eastAsia="zh-CN"/>
        </w:rPr>
        <w:t>参公人员</w:t>
      </w:r>
      <w:r>
        <w:rPr>
          <w:rFonts w:ascii="仿宋" w:eastAsia="仿宋" w:hAnsi="仿宋" w:cs="仿宋" w:hint="eastAsia"/>
          <w:color w:val="000000"/>
          <w:sz w:val="30"/>
          <w:szCs w:val="30"/>
          <w:lang w:val="en-US" w:eastAsia="zh-CN"/>
        </w:rPr>
        <w:t>6人，事业人员125人；</w:t>
      </w:r>
      <w:r>
        <w:rPr>
          <w:rFonts w:ascii="仿宋" w:eastAsia="仿宋" w:hAnsi="仿宋" w:cs="仿宋" w:hint="eastAsia"/>
          <w:color w:val="000000"/>
          <w:sz w:val="30"/>
          <w:szCs w:val="30"/>
        </w:rPr>
        <w:t>离休人员</w:t>
      </w:r>
      <w:r>
        <w:rPr>
          <w:rFonts w:ascii="仿宋" w:eastAsia="仿宋" w:hAnsi="仿宋" w:cs="仿宋" w:hint="eastAsia"/>
          <w:color w:val="000000"/>
          <w:sz w:val="30"/>
          <w:szCs w:val="30"/>
          <w:lang w:val="en-US" w:eastAsia="zh-CN"/>
        </w:rPr>
        <w:t>2</w:t>
      </w:r>
      <w:r>
        <w:rPr>
          <w:rFonts w:ascii="仿宋" w:eastAsia="仿宋" w:hAnsi="仿宋" w:cs="仿宋" w:hint="eastAsia"/>
          <w:color w:val="000000"/>
          <w:sz w:val="30"/>
          <w:szCs w:val="30"/>
        </w:rPr>
        <w:t>人</w:t>
      </w:r>
      <w:r>
        <w:rPr>
          <w:rFonts w:ascii="仿宋" w:eastAsia="仿宋" w:hAnsi="仿宋" w:cs="仿宋" w:hint="eastAsia"/>
          <w:color w:val="000000"/>
          <w:sz w:val="30"/>
          <w:szCs w:val="30"/>
          <w:lang w:eastAsia="zh-CN"/>
        </w:rPr>
        <w:t>，其他人员</w:t>
      </w:r>
      <w:r>
        <w:rPr>
          <w:rFonts w:ascii="仿宋" w:eastAsia="仿宋" w:hAnsi="仿宋" w:cs="仿宋" w:hint="eastAsia"/>
          <w:color w:val="000000"/>
          <w:sz w:val="30"/>
          <w:szCs w:val="30"/>
          <w:lang w:val="en-US" w:eastAsia="zh-CN"/>
        </w:rPr>
        <w:t>48人。</w:t>
      </w:r>
    </w:p>
    <w:p w:rsidR="00947B86" w:rsidRDefault="00000000">
      <w:pPr>
        <w:pStyle w:val="Bodytext1"/>
        <w:numPr>
          <w:ilvl w:val="0"/>
          <w:numId w:val="1"/>
        </w:numPr>
        <w:tabs>
          <w:tab w:val="left" w:pos="1251"/>
        </w:tabs>
        <w:spacing w:after="100" w:line="510" w:lineRule="exact"/>
        <w:ind w:firstLine="640"/>
        <w:rPr>
          <w:rFonts w:ascii="仿宋" w:eastAsia="仿宋" w:hAnsi="仿宋" w:cs="仿宋"/>
          <w:sz w:val="30"/>
          <w:szCs w:val="30"/>
        </w:rPr>
      </w:pPr>
      <w:bookmarkStart w:id="0" w:name="bookmark11"/>
      <w:bookmarkEnd w:id="0"/>
      <w:r>
        <w:rPr>
          <w:rFonts w:ascii="仿宋" w:eastAsia="仿宋" w:hAnsi="仿宋" w:cs="仿宋" w:hint="eastAsia"/>
          <w:color w:val="000000"/>
          <w:sz w:val="30"/>
          <w:szCs w:val="30"/>
        </w:rPr>
        <w:t>部门职能概述</w:t>
      </w:r>
    </w:p>
    <w:p w:rsidR="00947B86" w:rsidRDefault="00000000">
      <w:pPr>
        <w:pStyle w:val="Bodytext1"/>
        <w:spacing w:line="510" w:lineRule="exact"/>
        <w:ind w:firstLine="640"/>
        <w:rPr>
          <w:rFonts w:ascii="仿宋" w:eastAsia="仿宋" w:hAnsi="仿宋" w:cs="仿宋"/>
          <w:sz w:val="30"/>
          <w:szCs w:val="30"/>
        </w:rPr>
      </w:pPr>
      <w:r>
        <w:rPr>
          <w:rFonts w:ascii="仿宋" w:eastAsia="仿宋" w:hAnsi="仿宋" w:cs="仿宋" w:hint="eastAsia"/>
          <w:color w:val="000000"/>
          <w:sz w:val="30"/>
          <w:szCs w:val="30"/>
        </w:rPr>
        <w:t>信丰县住房和城乡建设局是主管信丰县城市建设、住房保障和房地产管理、国防动员委员会人民防空建设工作的县政府直属 机构，主要工作职责是：</w:t>
      </w:r>
    </w:p>
    <w:p w:rsidR="00947B86" w:rsidRDefault="00000000">
      <w:pPr>
        <w:pStyle w:val="Bodytext1"/>
        <w:tabs>
          <w:tab w:val="left" w:pos="1345"/>
        </w:tabs>
        <w:spacing w:line="510" w:lineRule="exact"/>
        <w:ind w:firstLine="640"/>
        <w:rPr>
          <w:rFonts w:ascii="仿宋" w:eastAsia="仿宋" w:hAnsi="仿宋" w:cs="仿宋"/>
          <w:sz w:val="30"/>
          <w:szCs w:val="30"/>
        </w:rPr>
      </w:pPr>
      <w:bookmarkStart w:id="1" w:name="bookmark12"/>
      <w:r>
        <w:rPr>
          <w:rFonts w:ascii="仿宋" w:eastAsia="仿宋" w:hAnsi="仿宋" w:cs="仿宋" w:hint="eastAsia"/>
          <w:color w:val="000000"/>
          <w:sz w:val="30"/>
          <w:szCs w:val="30"/>
        </w:rPr>
        <w:t>（</w:t>
      </w:r>
      <w:bookmarkEnd w:id="1"/>
      <w:r>
        <w:rPr>
          <w:rFonts w:ascii="仿宋" w:eastAsia="仿宋" w:hAnsi="仿宋" w:cs="仿宋" w:hint="eastAsia"/>
          <w:color w:val="000000"/>
          <w:sz w:val="30"/>
          <w:szCs w:val="30"/>
        </w:rPr>
        <w:t>一）</w:t>
      </w:r>
      <w:r>
        <w:rPr>
          <w:rFonts w:ascii="仿宋" w:eastAsia="仿宋" w:hAnsi="仿宋" w:cs="仿宋" w:hint="eastAsia"/>
          <w:color w:val="000000"/>
          <w:sz w:val="30"/>
          <w:szCs w:val="30"/>
        </w:rPr>
        <w:tab/>
        <w:t>贯彻国家、省、市关于城乡住房建设事业的方针政策和 法律、法规；制定相关的发展战略、改革方案，并指导组织实施。</w:t>
      </w:r>
    </w:p>
    <w:p w:rsidR="00947B86" w:rsidRDefault="00000000">
      <w:pPr>
        <w:pStyle w:val="Bodytext1"/>
        <w:tabs>
          <w:tab w:val="left" w:pos="1352"/>
        </w:tabs>
        <w:spacing w:line="510" w:lineRule="exact"/>
        <w:ind w:firstLine="640"/>
        <w:rPr>
          <w:rFonts w:ascii="仿宋" w:eastAsia="仿宋" w:hAnsi="仿宋" w:cs="仿宋"/>
          <w:sz w:val="30"/>
          <w:szCs w:val="30"/>
        </w:rPr>
      </w:pPr>
      <w:bookmarkStart w:id="2" w:name="bookmark13"/>
      <w:r>
        <w:rPr>
          <w:rFonts w:ascii="仿宋" w:eastAsia="仿宋" w:hAnsi="仿宋" w:cs="仿宋" w:hint="eastAsia"/>
          <w:color w:val="000000"/>
          <w:sz w:val="30"/>
          <w:szCs w:val="30"/>
        </w:rPr>
        <w:t>（</w:t>
      </w:r>
      <w:bookmarkEnd w:id="2"/>
      <w:r>
        <w:rPr>
          <w:rFonts w:ascii="仿宋" w:eastAsia="仿宋" w:hAnsi="仿宋" w:cs="仿宋" w:hint="eastAsia"/>
          <w:color w:val="000000"/>
          <w:sz w:val="30"/>
          <w:szCs w:val="30"/>
        </w:rPr>
        <w:t>二）</w:t>
      </w:r>
      <w:r>
        <w:rPr>
          <w:rFonts w:ascii="仿宋" w:eastAsia="仿宋" w:hAnsi="仿宋" w:cs="仿宋" w:hint="eastAsia"/>
          <w:color w:val="000000"/>
          <w:sz w:val="30"/>
          <w:szCs w:val="30"/>
        </w:rPr>
        <w:tab/>
        <w:t>主管全县城市雕塑、户外广告规划和城市勘察、市政工 程测量、城市地下空间开发利用工作。</w:t>
      </w:r>
    </w:p>
    <w:p w:rsidR="00947B86" w:rsidRDefault="00000000">
      <w:pPr>
        <w:pStyle w:val="Bodytext1"/>
        <w:tabs>
          <w:tab w:val="left" w:pos="1315"/>
        </w:tabs>
        <w:spacing w:line="510" w:lineRule="exact"/>
        <w:ind w:firstLine="640"/>
        <w:rPr>
          <w:rFonts w:ascii="仿宋" w:eastAsia="仿宋" w:hAnsi="仿宋" w:cs="仿宋"/>
          <w:sz w:val="30"/>
          <w:szCs w:val="30"/>
        </w:rPr>
      </w:pPr>
      <w:bookmarkStart w:id="3" w:name="bookmark14"/>
      <w:r>
        <w:rPr>
          <w:rFonts w:ascii="仿宋" w:eastAsia="仿宋" w:hAnsi="仿宋" w:cs="仿宋" w:hint="eastAsia"/>
          <w:color w:val="000000"/>
          <w:sz w:val="30"/>
          <w:szCs w:val="30"/>
        </w:rPr>
        <w:t>（</w:t>
      </w:r>
      <w:bookmarkEnd w:id="3"/>
      <w:r>
        <w:rPr>
          <w:rFonts w:ascii="仿宋" w:eastAsia="仿宋" w:hAnsi="仿宋" w:cs="仿宋" w:hint="eastAsia"/>
          <w:color w:val="000000"/>
          <w:sz w:val="30"/>
          <w:szCs w:val="30"/>
        </w:rPr>
        <w:t>三）</w:t>
      </w:r>
      <w:r>
        <w:rPr>
          <w:rFonts w:ascii="仿宋" w:eastAsia="仿宋" w:hAnsi="仿宋" w:cs="仿宋" w:hint="eastAsia"/>
          <w:color w:val="000000"/>
          <w:sz w:val="30"/>
          <w:szCs w:val="30"/>
        </w:rPr>
        <w:tab/>
        <w:t>承担风景名胜区的审查报批、保护和监督管理工作。</w:t>
      </w:r>
    </w:p>
    <w:p w:rsidR="00947B86" w:rsidRDefault="00000000">
      <w:pPr>
        <w:pStyle w:val="Bodytext1"/>
        <w:tabs>
          <w:tab w:val="left" w:pos="1345"/>
        </w:tabs>
        <w:spacing w:after="180" w:line="510" w:lineRule="exact"/>
        <w:ind w:firstLine="640"/>
        <w:rPr>
          <w:rFonts w:ascii="仿宋" w:eastAsia="仿宋" w:hAnsi="仿宋" w:cs="仿宋"/>
          <w:color w:val="000000"/>
          <w:sz w:val="30"/>
          <w:szCs w:val="30"/>
        </w:rPr>
      </w:pPr>
      <w:bookmarkStart w:id="4" w:name="bookmark15"/>
      <w:r>
        <w:rPr>
          <w:rFonts w:ascii="仿宋" w:eastAsia="仿宋" w:hAnsi="仿宋" w:cs="仿宋" w:hint="eastAsia"/>
          <w:color w:val="000000"/>
          <w:sz w:val="30"/>
          <w:szCs w:val="30"/>
        </w:rPr>
        <w:t>（</w:t>
      </w:r>
      <w:bookmarkEnd w:id="4"/>
      <w:r>
        <w:rPr>
          <w:rFonts w:ascii="仿宋" w:eastAsia="仿宋" w:hAnsi="仿宋" w:cs="仿宋" w:hint="eastAsia"/>
          <w:color w:val="000000"/>
          <w:sz w:val="30"/>
          <w:szCs w:val="30"/>
        </w:rPr>
        <w:t>四）</w:t>
      </w:r>
      <w:r>
        <w:rPr>
          <w:rFonts w:ascii="仿宋" w:eastAsia="仿宋" w:hAnsi="仿宋" w:cs="仿宋" w:hint="eastAsia"/>
          <w:color w:val="000000"/>
          <w:sz w:val="30"/>
          <w:szCs w:val="30"/>
        </w:rPr>
        <w:tab/>
        <w:t>综合管理全县房屋及市政基础设施工程（以下简称建筑 工程）活动，规范建筑市场；指导和监督管理建筑市场准入、工 程招标投标、工程监理、工程质量与施工安全。</w:t>
      </w:r>
      <w:bookmarkStart w:id="5" w:name="bookmark16"/>
    </w:p>
    <w:p w:rsidR="00947B86" w:rsidRDefault="00000000">
      <w:pPr>
        <w:pStyle w:val="Bodytext1"/>
        <w:tabs>
          <w:tab w:val="left" w:pos="1345"/>
        </w:tabs>
        <w:spacing w:after="180" w:line="510" w:lineRule="exact"/>
        <w:ind w:firstLine="640"/>
        <w:rPr>
          <w:rFonts w:ascii="仿宋" w:eastAsia="仿宋" w:hAnsi="仿宋" w:cs="仿宋"/>
          <w:color w:val="000000"/>
          <w:sz w:val="30"/>
          <w:szCs w:val="30"/>
        </w:rPr>
      </w:pPr>
      <w:r>
        <w:rPr>
          <w:rFonts w:ascii="仿宋" w:eastAsia="仿宋" w:hAnsi="仿宋" w:cs="仿宋" w:hint="eastAsia"/>
          <w:color w:val="000000"/>
          <w:sz w:val="30"/>
          <w:szCs w:val="30"/>
        </w:rPr>
        <w:t>（</w:t>
      </w:r>
      <w:bookmarkEnd w:id="5"/>
      <w:r>
        <w:rPr>
          <w:rFonts w:ascii="仿宋" w:eastAsia="仿宋" w:hAnsi="仿宋" w:cs="仿宋" w:hint="eastAsia"/>
          <w:color w:val="000000"/>
          <w:sz w:val="30"/>
          <w:szCs w:val="30"/>
        </w:rPr>
        <w:t>五）</w:t>
      </w:r>
      <w:r>
        <w:rPr>
          <w:rFonts w:ascii="仿宋" w:eastAsia="仿宋" w:hAnsi="仿宋" w:cs="仿宋" w:hint="eastAsia"/>
          <w:color w:val="000000"/>
          <w:sz w:val="30"/>
          <w:szCs w:val="30"/>
        </w:rPr>
        <w:tab/>
        <w:t>负责全县建设工程的勘察、设计、咨询行业管理。</w:t>
      </w:r>
    </w:p>
    <w:p w:rsidR="00947B86" w:rsidRDefault="00000000">
      <w:pPr>
        <w:pStyle w:val="Bodytext1"/>
        <w:tabs>
          <w:tab w:val="left" w:pos="1345"/>
        </w:tabs>
        <w:spacing w:after="180" w:line="510" w:lineRule="exact"/>
        <w:ind w:firstLine="640"/>
        <w:rPr>
          <w:rFonts w:ascii="仿宋" w:eastAsia="仿宋" w:hAnsi="仿宋" w:cs="仿宋"/>
          <w:color w:val="000000"/>
          <w:sz w:val="30"/>
          <w:szCs w:val="30"/>
        </w:rPr>
      </w:pPr>
      <w:bookmarkStart w:id="6" w:name="bookmark17"/>
      <w:r>
        <w:rPr>
          <w:rFonts w:ascii="仿宋" w:eastAsia="仿宋" w:hAnsi="仿宋" w:cs="仿宋" w:hint="eastAsia"/>
          <w:color w:val="000000"/>
          <w:sz w:val="30"/>
          <w:szCs w:val="30"/>
        </w:rPr>
        <w:lastRenderedPageBreak/>
        <w:t>（</w:t>
      </w:r>
      <w:bookmarkEnd w:id="6"/>
      <w:r>
        <w:rPr>
          <w:rFonts w:ascii="仿宋" w:eastAsia="仿宋" w:hAnsi="仿宋" w:cs="仿宋" w:hint="eastAsia"/>
          <w:color w:val="000000"/>
          <w:sz w:val="30"/>
          <w:szCs w:val="30"/>
        </w:rPr>
        <w:t>六）</w:t>
      </w:r>
      <w:r>
        <w:rPr>
          <w:rFonts w:ascii="仿宋" w:eastAsia="仿宋" w:hAnsi="仿宋" w:cs="仿宋" w:hint="eastAsia"/>
          <w:color w:val="000000"/>
          <w:sz w:val="30"/>
          <w:szCs w:val="30"/>
        </w:rPr>
        <w:tab/>
        <w:t>承担推进全县建筑节能、减排的责任。</w:t>
      </w:r>
    </w:p>
    <w:p w:rsidR="00947B86" w:rsidRDefault="00000000">
      <w:pPr>
        <w:pStyle w:val="Bodytext1"/>
        <w:tabs>
          <w:tab w:val="left" w:pos="1345"/>
        </w:tabs>
        <w:spacing w:after="180" w:line="510" w:lineRule="exact"/>
        <w:ind w:firstLine="640"/>
        <w:rPr>
          <w:rFonts w:ascii="仿宋" w:eastAsia="仿宋" w:hAnsi="仿宋" w:cs="仿宋"/>
          <w:color w:val="000000"/>
          <w:sz w:val="30"/>
          <w:szCs w:val="30"/>
        </w:rPr>
      </w:pPr>
      <w:bookmarkStart w:id="7" w:name="bookmark18"/>
      <w:r>
        <w:rPr>
          <w:rFonts w:ascii="仿宋" w:eastAsia="仿宋" w:hAnsi="仿宋" w:cs="仿宋" w:hint="eastAsia"/>
          <w:color w:val="000000"/>
          <w:sz w:val="30"/>
          <w:szCs w:val="30"/>
        </w:rPr>
        <w:t>（</w:t>
      </w:r>
      <w:bookmarkEnd w:id="7"/>
      <w:r>
        <w:rPr>
          <w:rFonts w:ascii="仿宋" w:eastAsia="仿宋" w:hAnsi="仿宋" w:cs="仿宋" w:hint="eastAsia"/>
          <w:color w:val="000000"/>
          <w:sz w:val="30"/>
          <w:szCs w:val="30"/>
        </w:rPr>
        <w:t>七）</w:t>
      </w:r>
      <w:r>
        <w:rPr>
          <w:rFonts w:ascii="仿宋" w:eastAsia="仿宋" w:hAnsi="仿宋" w:cs="仿宋" w:hint="eastAsia"/>
          <w:color w:val="000000"/>
          <w:sz w:val="30"/>
          <w:szCs w:val="30"/>
        </w:rPr>
        <w:tab/>
        <w:t>监督管理城市供水、排水、燃气工作。</w:t>
      </w:r>
    </w:p>
    <w:p w:rsidR="00947B86" w:rsidRDefault="00000000">
      <w:pPr>
        <w:pStyle w:val="Bodytext1"/>
        <w:tabs>
          <w:tab w:val="left" w:pos="1345"/>
        </w:tabs>
        <w:spacing w:after="180" w:line="510" w:lineRule="exact"/>
        <w:ind w:firstLine="640"/>
        <w:rPr>
          <w:rFonts w:ascii="仿宋" w:eastAsia="仿宋" w:hAnsi="仿宋" w:cs="仿宋"/>
          <w:color w:val="000000"/>
          <w:sz w:val="30"/>
          <w:szCs w:val="30"/>
        </w:rPr>
      </w:pPr>
      <w:bookmarkStart w:id="8" w:name="bookmark19"/>
      <w:r>
        <w:rPr>
          <w:rFonts w:ascii="仿宋" w:eastAsia="仿宋" w:hAnsi="仿宋" w:cs="仿宋" w:hint="eastAsia"/>
          <w:color w:val="000000"/>
          <w:sz w:val="30"/>
          <w:szCs w:val="30"/>
        </w:rPr>
        <w:t>（</w:t>
      </w:r>
      <w:bookmarkEnd w:id="8"/>
      <w:r>
        <w:rPr>
          <w:rFonts w:ascii="仿宋" w:eastAsia="仿宋" w:hAnsi="仿宋" w:cs="仿宋" w:hint="eastAsia"/>
          <w:color w:val="000000"/>
          <w:sz w:val="30"/>
          <w:szCs w:val="30"/>
        </w:rPr>
        <w:t>八）</w:t>
      </w:r>
      <w:r>
        <w:rPr>
          <w:rFonts w:ascii="仿宋" w:eastAsia="仿宋" w:hAnsi="仿宋" w:cs="仿宋" w:hint="eastAsia"/>
          <w:color w:val="000000"/>
          <w:sz w:val="30"/>
          <w:szCs w:val="30"/>
        </w:rPr>
        <w:tab/>
        <w:t>指导全县村镇建设管理工作。</w:t>
      </w:r>
    </w:p>
    <w:p w:rsidR="00947B86" w:rsidRDefault="00000000">
      <w:pPr>
        <w:pStyle w:val="Bodytext1"/>
        <w:tabs>
          <w:tab w:val="left" w:pos="1345"/>
        </w:tabs>
        <w:spacing w:after="180" w:line="510" w:lineRule="exact"/>
        <w:ind w:firstLine="640"/>
        <w:rPr>
          <w:rFonts w:ascii="仿宋" w:eastAsia="仿宋" w:hAnsi="仿宋" w:cs="仿宋"/>
          <w:color w:val="000000"/>
          <w:sz w:val="30"/>
          <w:szCs w:val="30"/>
        </w:rPr>
      </w:pPr>
      <w:r>
        <w:rPr>
          <w:rFonts w:ascii="仿宋" w:eastAsia="仿宋" w:hAnsi="仿宋" w:cs="仿宋" w:hint="eastAsia"/>
          <w:color w:val="000000"/>
          <w:sz w:val="30"/>
          <w:szCs w:val="30"/>
        </w:rPr>
        <w:t>（十）</w:t>
      </w:r>
      <w:r>
        <w:rPr>
          <w:rFonts w:ascii="仿宋" w:eastAsia="仿宋" w:hAnsi="仿宋" w:cs="仿宋" w:hint="eastAsia"/>
          <w:color w:val="000000"/>
          <w:sz w:val="30"/>
          <w:szCs w:val="30"/>
          <w:lang w:val="en-US" w:eastAsia="zh-CN"/>
        </w:rPr>
        <w:t xml:space="preserve"> </w:t>
      </w:r>
      <w:r>
        <w:rPr>
          <w:rFonts w:ascii="仿宋" w:eastAsia="仿宋" w:hAnsi="仿宋" w:cs="仿宋" w:hint="eastAsia"/>
          <w:color w:val="000000"/>
          <w:sz w:val="30"/>
          <w:szCs w:val="30"/>
        </w:rPr>
        <w:t>负责全县建筑市场监察执法工作；</w:t>
      </w:r>
    </w:p>
    <w:p w:rsidR="00947B86" w:rsidRDefault="00000000">
      <w:pPr>
        <w:pStyle w:val="Bodytext1"/>
        <w:tabs>
          <w:tab w:val="left" w:pos="1345"/>
        </w:tabs>
        <w:spacing w:after="180" w:line="510" w:lineRule="exact"/>
        <w:ind w:firstLine="640"/>
        <w:rPr>
          <w:rFonts w:ascii="仿宋" w:eastAsia="仿宋" w:hAnsi="仿宋" w:cs="仿宋"/>
          <w:color w:val="000000"/>
          <w:sz w:val="30"/>
          <w:szCs w:val="30"/>
        </w:rPr>
      </w:pPr>
      <w:r>
        <w:rPr>
          <w:rFonts w:ascii="仿宋" w:eastAsia="仿宋" w:hAnsi="仿宋" w:cs="仿宋" w:hint="eastAsia"/>
          <w:color w:val="000000"/>
          <w:sz w:val="30"/>
          <w:szCs w:val="30"/>
        </w:rPr>
        <w:t>（</w:t>
      </w:r>
      <w:r>
        <w:rPr>
          <w:rFonts w:ascii="仿宋" w:eastAsia="仿宋" w:hAnsi="仿宋" w:cs="仿宋" w:hint="eastAsia"/>
          <w:color w:val="000000"/>
          <w:sz w:val="30"/>
          <w:szCs w:val="30"/>
          <w:lang w:eastAsia="zh-CN"/>
        </w:rPr>
        <w:t>十一</w:t>
      </w:r>
      <w:r>
        <w:rPr>
          <w:rFonts w:ascii="仿宋" w:eastAsia="仿宋" w:hAnsi="仿宋" w:cs="仿宋" w:hint="eastAsia"/>
          <w:color w:val="000000"/>
          <w:sz w:val="30"/>
          <w:szCs w:val="30"/>
        </w:rPr>
        <w:t>）承办县委、县政府交办的其他事项。</w:t>
      </w:r>
    </w:p>
    <w:p w:rsidR="00947B86" w:rsidRDefault="00000000">
      <w:pPr>
        <w:pStyle w:val="Bodytext1"/>
        <w:tabs>
          <w:tab w:val="left" w:pos="1345"/>
        </w:tabs>
        <w:spacing w:after="180" w:line="510" w:lineRule="exact"/>
        <w:ind w:firstLine="640"/>
        <w:rPr>
          <w:rFonts w:ascii="仿宋" w:eastAsia="仿宋" w:hAnsi="仿宋" w:cs="仿宋"/>
          <w:color w:val="000000"/>
          <w:sz w:val="30"/>
          <w:szCs w:val="30"/>
        </w:rPr>
      </w:pPr>
      <w:r>
        <w:rPr>
          <w:rFonts w:ascii="仿宋" w:eastAsia="仿宋" w:hAnsi="仿宋" w:cs="仿宋" w:hint="eastAsia"/>
          <w:color w:val="000000"/>
          <w:sz w:val="30"/>
          <w:szCs w:val="30"/>
        </w:rPr>
        <w:t>（十二）房地产行政管理。</w:t>
      </w:r>
    </w:p>
    <w:p w:rsidR="00947B86" w:rsidRDefault="00000000">
      <w:pPr>
        <w:pStyle w:val="Bodytext1"/>
        <w:tabs>
          <w:tab w:val="left" w:pos="1345"/>
        </w:tabs>
        <w:spacing w:after="180" w:line="510" w:lineRule="exact"/>
        <w:ind w:firstLine="640"/>
        <w:rPr>
          <w:rFonts w:ascii="仿宋" w:eastAsia="仿宋" w:hAnsi="仿宋" w:cs="仿宋"/>
          <w:color w:val="000000"/>
          <w:sz w:val="30"/>
          <w:szCs w:val="30"/>
        </w:rPr>
      </w:pPr>
      <w:r>
        <w:rPr>
          <w:rFonts w:ascii="仿宋" w:eastAsia="仿宋" w:hAnsi="仿宋" w:cs="仿宋" w:hint="eastAsia"/>
          <w:color w:val="000000"/>
          <w:sz w:val="30"/>
          <w:szCs w:val="30"/>
        </w:rPr>
        <w:t>（十三）</w:t>
      </w:r>
      <w:r>
        <w:rPr>
          <w:rFonts w:ascii="仿宋" w:eastAsia="仿宋" w:hAnsi="仿宋" w:cs="仿宋" w:hint="eastAsia"/>
          <w:color w:val="000000"/>
          <w:sz w:val="30"/>
          <w:szCs w:val="30"/>
          <w:lang w:val="en-US" w:eastAsia="zh-CN"/>
        </w:rPr>
        <w:t xml:space="preserve"> </w:t>
      </w:r>
      <w:r>
        <w:rPr>
          <w:rFonts w:ascii="仿宋" w:eastAsia="仿宋" w:hAnsi="仿宋" w:cs="仿宋" w:hint="eastAsia"/>
          <w:color w:val="000000"/>
          <w:sz w:val="30"/>
          <w:szCs w:val="30"/>
        </w:rPr>
        <w:t>组织实施城镇住宅建设、棚户区改造，保障性住房建 设与管理。</w:t>
      </w:r>
    </w:p>
    <w:p w:rsidR="00947B86" w:rsidRDefault="00000000">
      <w:pPr>
        <w:pStyle w:val="Bodytext1"/>
        <w:spacing w:line="619" w:lineRule="exact"/>
        <w:ind w:firstLine="680"/>
        <w:rPr>
          <w:rFonts w:ascii="仿宋" w:eastAsia="仿宋" w:hAnsi="仿宋" w:cs="仿宋"/>
          <w:sz w:val="30"/>
          <w:szCs w:val="30"/>
        </w:rPr>
      </w:pPr>
      <w:r>
        <w:rPr>
          <w:rFonts w:ascii="仿宋" w:eastAsia="仿宋" w:hAnsi="仿宋" w:cs="仿宋" w:hint="eastAsia"/>
          <w:color w:val="000000"/>
          <w:sz w:val="30"/>
          <w:szCs w:val="30"/>
        </w:rPr>
        <w:t>（十三）城区范围内直管公房的经营和维修养护。</w:t>
      </w:r>
    </w:p>
    <w:p w:rsidR="00947B86" w:rsidRDefault="00000000">
      <w:pPr>
        <w:pStyle w:val="Bodytext1"/>
        <w:spacing w:line="619" w:lineRule="exact"/>
        <w:ind w:firstLine="680"/>
        <w:rPr>
          <w:rFonts w:ascii="仿宋" w:eastAsia="仿宋" w:hAnsi="仿宋" w:cs="仿宋"/>
          <w:sz w:val="30"/>
          <w:szCs w:val="30"/>
        </w:rPr>
      </w:pPr>
      <w:r>
        <w:rPr>
          <w:rFonts w:ascii="仿宋" w:eastAsia="仿宋" w:hAnsi="仿宋" w:cs="仿宋" w:hint="eastAsia"/>
          <w:color w:val="000000"/>
          <w:sz w:val="30"/>
          <w:szCs w:val="30"/>
        </w:rPr>
        <w:t>（十四）城市国有土地上房屋征收与补偿的监督和管理。</w:t>
      </w:r>
    </w:p>
    <w:p w:rsidR="00947B86" w:rsidRDefault="00000000">
      <w:pPr>
        <w:pStyle w:val="Bodytext1"/>
        <w:spacing w:line="619" w:lineRule="exact"/>
        <w:ind w:firstLine="680"/>
        <w:rPr>
          <w:rFonts w:ascii="仿宋" w:eastAsia="仿宋" w:hAnsi="仿宋" w:cs="仿宋"/>
          <w:sz w:val="30"/>
          <w:szCs w:val="30"/>
        </w:rPr>
      </w:pPr>
      <w:r>
        <w:rPr>
          <w:rFonts w:ascii="仿宋" w:eastAsia="仿宋" w:hAnsi="仿宋" w:cs="仿宋" w:hint="eastAsia"/>
          <w:color w:val="000000"/>
          <w:sz w:val="30"/>
          <w:szCs w:val="30"/>
        </w:rPr>
        <w:t>（十五）房屋白蚁预防管理、灭治实施指导。</w:t>
      </w:r>
    </w:p>
    <w:p w:rsidR="00947B86" w:rsidRDefault="00000000">
      <w:pPr>
        <w:pStyle w:val="Bodytext1"/>
        <w:spacing w:after="100" w:line="619" w:lineRule="exact"/>
        <w:ind w:firstLine="680"/>
        <w:rPr>
          <w:rFonts w:ascii="仿宋" w:eastAsia="仿宋" w:hAnsi="仿宋" w:cs="仿宋"/>
          <w:sz w:val="30"/>
          <w:szCs w:val="30"/>
        </w:rPr>
      </w:pPr>
      <w:r>
        <w:rPr>
          <w:rFonts w:ascii="仿宋" w:eastAsia="仿宋" w:hAnsi="仿宋" w:cs="仿宋" w:hint="eastAsia"/>
          <w:color w:val="000000"/>
          <w:sz w:val="30"/>
          <w:szCs w:val="30"/>
        </w:rPr>
        <w:t>（十六）贯彻执行国家和南京军区、省、市国防动员委员会关于人民防空建设的方针、政策和法律、规章，组织拟定本县有关人民防空的政策、规章和措施。</w:t>
      </w:r>
    </w:p>
    <w:p w:rsidR="00947B86" w:rsidRDefault="00000000">
      <w:pPr>
        <w:pStyle w:val="Bodytext1"/>
        <w:spacing w:line="517" w:lineRule="exact"/>
        <w:ind w:firstLine="680"/>
        <w:rPr>
          <w:rFonts w:ascii="仿宋" w:eastAsia="仿宋" w:hAnsi="仿宋" w:cs="仿宋"/>
          <w:sz w:val="30"/>
          <w:szCs w:val="30"/>
        </w:rPr>
      </w:pPr>
      <w:r>
        <w:rPr>
          <w:rFonts w:ascii="仿宋" w:eastAsia="仿宋" w:hAnsi="仿宋" w:cs="仿宋" w:hint="eastAsia"/>
          <w:color w:val="000000"/>
          <w:sz w:val="30"/>
          <w:szCs w:val="30"/>
        </w:rPr>
        <w:t>（十七）制定县人民防空建设规划、计划，提出有关国防要求 的意见和建设，指导检查规划、计划的落实，协调处理相关问题； 组织协调人防通信警报建设和防化工作，负责大、中型人防工程 的立项、建设和验收、使用等有关事宜。</w:t>
      </w:r>
    </w:p>
    <w:p w:rsidR="00947B86" w:rsidRDefault="00000000">
      <w:pPr>
        <w:pStyle w:val="Bodytext1"/>
        <w:spacing w:line="517" w:lineRule="exact"/>
        <w:ind w:firstLine="680"/>
        <w:rPr>
          <w:rFonts w:ascii="仿宋" w:eastAsia="仿宋" w:hAnsi="仿宋" w:cs="仿宋"/>
          <w:sz w:val="30"/>
          <w:szCs w:val="30"/>
        </w:rPr>
      </w:pPr>
      <w:r>
        <w:rPr>
          <w:rFonts w:ascii="仿宋" w:eastAsia="仿宋" w:hAnsi="仿宋" w:cs="仿宋" w:hint="eastAsia"/>
          <w:color w:val="000000"/>
          <w:sz w:val="30"/>
          <w:szCs w:val="30"/>
        </w:rPr>
        <w:t>（十八）指导人防科研工作，组织课题认证和科研成困鉴定， 推广人防工作经验；战时组织指挥人民防空袭斗争。</w:t>
      </w:r>
    </w:p>
    <w:p w:rsidR="00947B86" w:rsidRDefault="00000000">
      <w:pPr>
        <w:pStyle w:val="Bodytext1"/>
        <w:spacing w:after="140" w:line="517" w:lineRule="exact"/>
        <w:ind w:firstLine="680"/>
        <w:rPr>
          <w:rFonts w:ascii="仿宋" w:eastAsia="仿宋" w:hAnsi="仿宋" w:cs="仿宋"/>
          <w:color w:val="000000"/>
          <w:sz w:val="30"/>
          <w:szCs w:val="30"/>
        </w:rPr>
      </w:pPr>
      <w:r>
        <w:rPr>
          <w:rFonts w:ascii="仿宋" w:eastAsia="仿宋" w:hAnsi="仿宋" w:cs="仿宋" w:hint="eastAsia"/>
          <w:color w:val="000000"/>
          <w:sz w:val="30"/>
          <w:szCs w:val="30"/>
        </w:rPr>
        <w:t>（十九）掌握分配人防建设经费，检查监督各级经费使用情 况，负责人防战备工作的统计。</w:t>
      </w:r>
    </w:p>
    <w:p w:rsidR="00947B86" w:rsidRDefault="00000000">
      <w:pPr>
        <w:pStyle w:val="Bodytext1"/>
        <w:tabs>
          <w:tab w:val="left" w:pos="1030"/>
        </w:tabs>
        <w:spacing w:line="620" w:lineRule="exact"/>
        <w:ind w:firstLine="560"/>
        <w:rPr>
          <w:rFonts w:ascii="仿宋" w:eastAsia="仿宋" w:hAnsi="仿宋" w:cs="仿宋"/>
          <w:color w:val="000000"/>
          <w:sz w:val="30"/>
          <w:szCs w:val="30"/>
        </w:rPr>
      </w:pPr>
      <w:r>
        <w:rPr>
          <w:rFonts w:ascii="仿宋" w:eastAsia="仿宋" w:hAnsi="仿宋" w:cs="仿宋" w:hint="eastAsia"/>
          <w:color w:val="000000"/>
          <w:sz w:val="30"/>
          <w:szCs w:val="30"/>
          <w:lang w:val="en-US" w:eastAsia="zh-CN"/>
        </w:rPr>
        <w:lastRenderedPageBreak/>
        <w:t>2.</w:t>
      </w:r>
      <w:r>
        <w:rPr>
          <w:rFonts w:ascii="仿宋" w:eastAsia="仿宋" w:hAnsi="仿宋" w:cs="仿宋" w:hint="eastAsia"/>
          <w:color w:val="000000"/>
          <w:sz w:val="30"/>
          <w:szCs w:val="30"/>
        </w:rPr>
        <w:t>部门内部管理情况</w:t>
      </w:r>
    </w:p>
    <w:p w:rsidR="00947B86" w:rsidRDefault="00000000">
      <w:pPr>
        <w:pStyle w:val="Bodytext1"/>
        <w:tabs>
          <w:tab w:val="left" w:pos="1030"/>
        </w:tabs>
        <w:spacing w:line="620" w:lineRule="exact"/>
        <w:ind w:firstLine="560"/>
        <w:rPr>
          <w:rFonts w:ascii="仿宋" w:eastAsia="仿宋" w:hAnsi="仿宋" w:cs="仿宋"/>
          <w:sz w:val="30"/>
          <w:szCs w:val="30"/>
        </w:rPr>
      </w:pPr>
      <w:bookmarkStart w:id="9" w:name="bookmark21"/>
      <w:r>
        <w:rPr>
          <w:rFonts w:ascii="仿宋" w:eastAsia="仿宋" w:hAnsi="仿宋" w:cs="仿宋" w:hint="eastAsia"/>
          <w:color w:val="000000"/>
          <w:sz w:val="30"/>
          <w:szCs w:val="30"/>
          <w:lang w:eastAsia="zh-CN"/>
        </w:rPr>
        <w:t>（</w:t>
      </w:r>
      <w:r>
        <w:rPr>
          <w:rFonts w:ascii="仿宋" w:eastAsia="仿宋" w:hAnsi="仿宋" w:cs="仿宋" w:hint="eastAsia"/>
          <w:color w:val="000000"/>
          <w:sz w:val="30"/>
          <w:szCs w:val="30"/>
        </w:rPr>
        <w:t>1</w:t>
      </w:r>
      <w:bookmarkEnd w:id="9"/>
      <w:r>
        <w:rPr>
          <w:rFonts w:ascii="仿宋" w:eastAsia="仿宋" w:hAnsi="仿宋" w:cs="仿宋" w:hint="eastAsia"/>
          <w:color w:val="000000"/>
          <w:sz w:val="30"/>
          <w:szCs w:val="30"/>
          <w:lang w:eastAsia="zh-CN"/>
        </w:rPr>
        <w:t>）</w:t>
      </w:r>
      <w:r>
        <w:rPr>
          <w:rFonts w:ascii="仿宋" w:eastAsia="仿宋" w:hAnsi="仿宋" w:cs="仿宋" w:hint="eastAsia"/>
          <w:color w:val="000000"/>
          <w:sz w:val="30"/>
          <w:szCs w:val="30"/>
        </w:rPr>
        <w:t>财务管理情况：</w:t>
      </w:r>
    </w:p>
    <w:p w:rsidR="00947B86" w:rsidRDefault="00000000">
      <w:pPr>
        <w:pStyle w:val="Bodytext1"/>
        <w:spacing w:line="620" w:lineRule="exact"/>
        <w:ind w:firstLine="620"/>
        <w:rPr>
          <w:rFonts w:ascii="仿宋" w:eastAsia="仿宋" w:hAnsi="仿宋" w:cs="仿宋"/>
          <w:sz w:val="30"/>
          <w:szCs w:val="30"/>
        </w:rPr>
      </w:pPr>
      <w:r>
        <w:rPr>
          <w:rFonts w:ascii="仿宋" w:eastAsia="仿宋" w:hAnsi="仿宋" w:cs="仿宋" w:hint="eastAsia"/>
          <w:color w:val="000000"/>
          <w:sz w:val="30"/>
          <w:szCs w:val="30"/>
        </w:rPr>
        <w:t>局机关严格执行《行政单位会计制度》，建立机关财务管理 制度，规范账务处理，会计凭证和财务报告真实完整，不做假账。 加强三公经费管理，严格控制三公经费支出。明确一般性支出的 开支范围和标准，严格报账审核。机关公务接待、会议费、差旅 费严格按照荣县党政机关公务接待、会议费、差旅费管理办法执 行。</w:t>
      </w:r>
    </w:p>
    <w:p w:rsidR="00947B86" w:rsidRDefault="00000000">
      <w:pPr>
        <w:pStyle w:val="Bodytext1"/>
        <w:tabs>
          <w:tab w:val="left" w:pos="1030"/>
        </w:tabs>
        <w:spacing w:line="620" w:lineRule="exact"/>
        <w:ind w:firstLine="560"/>
        <w:rPr>
          <w:rFonts w:ascii="仿宋" w:eastAsia="仿宋" w:hAnsi="仿宋" w:cs="仿宋"/>
          <w:sz w:val="30"/>
          <w:szCs w:val="30"/>
        </w:rPr>
      </w:pPr>
      <w:bookmarkStart w:id="10" w:name="bookmark22"/>
      <w:r>
        <w:rPr>
          <w:rFonts w:ascii="仿宋" w:eastAsia="仿宋" w:hAnsi="仿宋" w:cs="仿宋" w:hint="eastAsia"/>
          <w:color w:val="000000"/>
          <w:sz w:val="30"/>
          <w:szCs w:val="30"/>
          <w:lang w:eastAsia="zh-CN"/>
        </w:rPr>
        <w:t>（</w:t>
      </w:r>
      <w:r>
        <w:rPr>
          <w:rFonts w:ascii="仿宋" w:eastAsia="仿宋" w:hAnsi="仿宋" w:cs="仿宋" w:hint="eastAsia"/>
          <w:color w:val="000000"/>
          <w:sz w:val="30"/>
          <w:szCs w:val="30"/>
        </w:rPr>
        <w:t>2</w:t>
      </w:r>
      <w:bookmarkEnd w:id="10"/>
      <w:r>
        <w:rPr>
          <w:rFonts w:ascii="仿宋" w:eastAsia="仿宋" w:hAnsi="仿宋" w:cs="仿宋" w:hint="eastAsia"/>
          <w:color w:val="000000"/>
          <w:sz w:val="30"/>
          <w:szCs w:val="30"/>
          <w:lang w:eastAsia="zh-CN"/>
        </w:rPr>
        <w:t>）</w:t>
      </w:r>
      <w:r>
        <w:rPr>
          <w:rFonts w:ascii="仿宋" w:eastAsia="仿宋" w:hAnsi="仿宋" w:cs="仿宋" w:hint="eastAsia"/>
          <w:color w:val="000000"/>
          <w:sz w:val="30"/>
          <w:szCs w:val="30"/>
        </w:rPr>
        <w:t>资产管理情况：</w:t>
      </w:r>
    </w:p>
    <w:p w:rsidR="00947B86" w:rsidRDefault="00000000">
      <w:pPr>
        <w:pStyle w:val="Bodytext1"/>
        <w:spacing w:line="620" w:lineRule="exact"/>
        <w:ind w:firstLine="620"/>
        <w:rPr>
          <w:rFonts w:ascii="仿宋" w:eastAsia="仿宋" w:hAnsi="仿宋" w:cs="仿宋"/>
          <w:sz w:val="30"/>
          <w:szCs w:val="30"/>
        </w:rPr>
      </w:pPr>
      <w:r>
        <w:rPr>
          <w:rFonts w:ascii="仿宋" w:eastAsia="仿宋" w:hAnsi="仿宋" w:cs="仿宋" w:hint="eastAsia"/>
          <w:color w:val="000000"/>
          <w:sz w:val="30"/>
          <w:szCs w:val="30"/>
        </w:rPr>
        <w:t>加强资产管理，机关资产录入国有资产管理信息系统，每项 资产建立了资产卡片，实行动态管理，完成资产清查工作。报废、 毁损、处理、拍卖固定资产，及时进行账务调整。</w:t>
      </w:r>
    </w:p>
    <w:p w:rsidR="00947B86" w:rsidRDefault="00000000">
      <w:pPr>
        <w:pStyle w:val="Bodytext1"/>
        <w:tabs>
          <w:tab w:val="left" w:pos="1030"/>
        </w:tabs>
        <w:spacing w:line="620" w:lineRule="exact"/>
        <w:ind w:firstLine="560"/>
        <w:rPr>
          <w:rFonts w:ascii="仿宋" w:eastAsia="仿宋" w:hAnsi="仿宋" w:cs="仿宋"/>
          <w:sz w:val="30"/>
          <w:szCs w:val="30"/>
        </w:rPr>
      </w:pPr>
      <w:bookmarkStart w:id="11" w:name="bookmark23"/>
      <w:r>
        <w:rPr>
          <w:rFonts w:ascii="仿宋" w:eastAsia="仿宋" w:hAnsi="仿宋" w:cs="仿宋" w:hint="eastAsia"/>
          <w:color w:val="000000"/>
          <w:sz w:val="30"/>
          <w:szCs w:val="30"/>
          <w:lang w:eastAsia="zh-CN"/>
        </w:rPr>
        <w:t>（</w:t>
      </w:r>
      <w:r>
        <w:rPr>
          <w:rFonts w:ascii="仿宋" w:eastAsia="仿宋" w:hAnsi="仿宋" w:cs="仿宋" w:hint="eastAsia"/>
          <w:color w:val="000000"/>
          <w:sz w:val="30"/>
          <w:szCs w:val="30"/>
        </w:rPr>
        <w:t>3</w:t>
      </w:r>
      <w:bookmarkEnd w:id="11"/>
      <w:r>
        <w:rPr>
          <w:rFonts w:ascii="仿宋" w:eastAsia="仿宋" w:hAnsi="仿宋" w:cs="仿宋" w:hint="eastAsia"/>
          <w:color w:val="000000"/>
          <w:sz w:val="30"/>
          <w:szCs w:val="30"/>
          <w:lang w:eastAsia="zh-CN"/>
        </w:rPr>
        <w:t>）</w:t>
      </w:r>
      <w:r>
        <w:rPr>
          <w:rFonts w:ascii="仿宋" w:eastAsia="仿宋" w:hAnsi="仿宋" w:cs="仿宋" w:hint="eastAsia"/>
          <w:color w:val="000000"/>
          <w:sz w:val="30"/>
          <w:szCs w:val="30"/>
        </w:rPr>
        <w:t>内控制度管理情况：</w:t>
      </w:r>
    </w:p>
    <w:p w:rsidR="00947B86" w:rsidRDefault="00000000">
      <w:pPr>
        <w:pStyle w:val="Bodytext1"/>
        <w:spacing w:line="62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机关建立和健全了预算业务管理、收支业务管理、政府釆购 业务管理、资产管理、合同管理等内部控制制度。查找了风险点， 完善了业务流程。使经济业务管理更规范，健康。</w:t>
      </w:r>
    </w:p>
    <w:p w:rsidR="00947B86" w:rsidRDefault="00000000">
      <w:pPr>
        <w:pStyle w:val="Bodytext1"/>
        <w:numPr>
          <w:ilvl w:val="0"/>
          <w:numId w:val="2"/>
        </w:numPr>
        <w:spacing w:line="620" w:lineRule="exact"/>
        <w:ind w:firstLine="420"/>
        <w:rPr>
          <w:rFonts w:ascii="仿宋" w:eastAsia="仿宋" w:hAnsi="仿宋" w:cs="仿宋"/>
          <w:b/>
          <w:bCs/>
          <w:color w:val="000000"/>
          <w:sz w:val="30"/>
          <w:szCs w:val="30"/>
        </w:rPr>
      </w:pPr>
      <w:r>
        <w:rPr>
          <w:rFonts w:ascii="仿宋" w:eastAsia="仿宋" w:hAnsi="仿宋" w:cs="仿宋" w:hint="eastAsia"/>
          <w:b/>
          <w:bCs/>
          <w:color w:val="000000"/>
          <w:sz w:val="30"/>
          <w:szCs w:val="30"/>
        </w:rPr>
        <w:t>当年部门履职总体目标、工作任务。</w:t>
      </w:r>
    </w:p>
    <w:p w:rsidR="00947B86" w:rsidRDefault="00000000">
      <w:pPr>
        <w:pStyle w:val="Bodytext1"/>
        <w:spacing w:line="620" w:lineRule="exact"/>
        <w:ind w:firstLine="620"/>
        <w:rPr>
          <w:rFonts w:ascii="仿宋" w:eastAsia="仿宋" w:hAnsi="仿宋" w:cs="仿宋"/>
          <w:color w:val="000000"/>
          <w:sz w:val="30"/>
          <w:szCs w:val="30"/>
        </w:rPr>
      </w:pPr>
      <w:r>
        <w:rPr>
          <w:rFonts w:ascii="仿宋" w:eastAsia="仿宋" w:hAnsi="仿宋" w:cs="仿宋" w:hint="eastAsia"/>
          <w:color w:val="000000"/>
          <w:sz w:val="30"/>
          <w:szCs w:val="30"/>
        </w:rPr>
        <w:t>2021年以来，在县委、县政府的坚强领导下，我局坚持以习近平新时代中国特色社会主义思想为指导，围绕“建设高质量发展示范先行区”工作目标，求真务实、真抓实干，凝心聚力不断推进我县住建领域持续稳定健康发展。</w:t>
      </w:r>
    </w:p>
    <w:p w:rsidR="00947B86" w:rsidRDefault="00000000">
      <w:pPr>
        <w:pStyle w:val="Bodytext1"/>
        <w:spacing w:line="620" w:lineRule="exact"/>
        <w:ind w:firstLine="620"/>
        <w:rPr>
          <w:rFonts w:ascii="仿宋" w:eastAsia="仿宋" w:hAnsi="仿宋" w:cs="仿宋"/>
          <w:color w:val="000000"/>
          <w:sz w:val="30"/>
          <w:szCs w:val="30"/>
        </w:rPr>
      </w:pPr>
      <w:r>
        <w:rPr>
          <w:rFonts w:ascii="仿宋" w:eastAsia="仿宋" w:hAnsi="仿宋" w:cs="仿宋" w:hint="eastAsia"/>
          <w:color w:val="000000"/>
          <w:sz w:val="30"/>
          <w:szCs w:val="30"/>
        </w:rPr>
        <w:t>（一）加快推进城乡融合发展</w:t>
      </w:r>
    </w:p>
    <w:p w:rsidR="00947B86" w:rsidRDefault="00000000">
      <w:pPr>
        <w:pStyle w:val="Bodytext1"/>
        <w:spacing w:line="620" w:lineRule="exact"/>
        <w:ind w:firstLine="620"/>
        <w:rPr>
          <w:rFonts w:ascii="仿宋" w:eastAsia="仿宋" w:hAnsi="仿宋" w:cs="仿宋"/>
          <w:color w:val="000000"/>
          <w:sz w:val="30"/>
          <w:szCs w:val="30"/>
        </w:rPr>
      </w:pPr>
      <w:r>
        <w:rPr>
          <w:rFonts w:ascii="仿宋" w:eastAsia="仿宋" w:hAnsi="仿宋" w:cs="仿宋" w:hint="eastAsia"/>
          <w:color w:val="000000"/>
          <w:sz w:val="30"/>
          <w:szCs w:val="30"/>
        </w:rPr>
        <w:lastRenderedPageBreak/>
        <w:t>有序推进新型城镇化建设。2021年主攻新型城镇化重点项目总数45个，总投资363.05亿元，年度计划投资152.01亿元。</w:t>
      </w:r>
      <w:r w:rsidR="005C4272">
        <w:rPr>
          <w:rFonts w:ascii="仿宋" w:eastAsia="仿宋" w:hAnsi="仿宋" w:cs="仿宋" w:hint="eastAsia"/>
          <w:color w:val="000000"/>
          <w:sz w:val="30"/>
          <w:szCs w:val="30"/>
        </w:rPr>
        <w:t>截至</w:t>
      </w:r>
      <w:r>
        <w:rPr>
          <w:rFonts w:ascii="仿宋" w:eastAsia="仿宋" w:hAnsi="仿宋" w:cs="仿宋" w:hint="eastAsia"/>
          <w:color w:val="000000"/>
          <w:sz w:val="30"/>
          <w:szCs w:val="30"/>
          <w:lang w:val="en-US" w:eastAsia="zh-CN"/>
        </w:rPr>
        <w:t>12</w:t>
      </w:r>
      <w:r>
        <w:rPr>
          <w:rFonts w:ascii="仿宋" w:eastAsia="仿宋" w:hAnsi="仿宋" w:cs="仿宋" w:hint="eastAsia"/>
          <w:color w:val="000000"/>
          <w:sz w:val="30"/>
          <w:szCs w:val="30"/>
        </w:rPr>
        <w:t>月</w:t>
      </w:r>
      <w:r>
        <w:rPr>
          <w:rFonts w:ascii="仿宋" w:eastAsia="仿宋" w:hAnsi="仿宋" w:cs="仿宋" w:hint="eastAsia"/>
          <w:color w:val="000000"/>
          <w:sz w:val="30"/>
          <w:szCs w:val="30"/>
          <w:lang w:val="en-US" w:eastAsia="zh-CN"/>
        </w:rPr>
        <w:t>20</w:t>
      </w:r>
      <w:r>
        <w:rPr>
          <w:rFonts w:ascii="仿宋" w:eastAsia="仿宋" w:hAnsi="仿宋" w:cs="仿宋" w:hint="eastAsia"/>
          <w:color w:val="000000"/>
          <w:sz w:val="30"/>
          <w:szCs w:val="30"/>
        </w:rPr>
        <w:t>日，完成投资</w:t>
      </w:r>
      <w:r>
        <w:rPr>
          <w:rFonts w:ascii="仿宋" w:eastAsia="仿宋" w:hAnsi="仿宋" w:cs="仿宋" w:hint="eastAsia"/>
          <w:color w:val="000000"/>
          <w:sz w:val="30"/>
          <w:szCs w:val="30"/>
          <w:lang w:val="en-US" w:eastAsia="zh-CN"/>
        </w:rPr>
        <w:t>153.35</w:t>
      </w:r>
      <w:r>
        <w:rPr>
          <w:rFonts w:ascii="仿宋" w:eastAsia="仿宋" w:hAnsi="仿宋" w:cs="仿宋" w:hint="eastAsia"/>
          <w:color w:val="000000"/>
          <w:sz w:val="30"/>
          <w:szCs w:val="30"/>
        </w:rPr>
        <w:t>亿元，6个竣工投用项目为阳溪公园、迎宾大道南段、圣塔路(东延)、城南菜市场、思贤路、高铁新区基础设施项目，5个主体竣工项目为文化公园、橙乡科技培训中心、南山花园安置房、信丰分输清管站至信丰中燃门站输气管道工程、城乡雪亮及智慧安防小区建设，竣工率24.4%。</w:t>
      </w:r>
    </w:p>
    <w:p w:rsidR="00947B86" w:rsidRDefault="00000000">
      <w:pPr>
        <w:pStyle w:val="Bodytext1"/>
        <w:spacing w:line="620" w:lineRule="exact"/>
        <w:ind w:firstLine="620"/>
        <w:rPr>
          <w:rFonts w:ascii="仿宋" w:eastAsia="仿宋" w:hAnsi="仿宋" w:cs="仿宋"/>
          <w:color w:val="000000"/>
          <w:sz w:val="30"/>
          <w:szCs w:val="30"/>
        </w:rPr>
      </w:pPr>
      <w:r>
        <w:rPr>
          <w:rFonts w:ascii="仿宋" w:eastAsia="仿宋" w:hAnsi="仿宋" w:cs="仿宋" w:hint="eastAsia"/>
          <w:color w:val="000000"/>
          <w:sz w:val="30"/>
          <w:szCs w:val="30"/>
        </w:rPr>
        <w:t>精品打造美丽乡镇。以示范镇创建和圩镇“十个一”为抓手，大力开展乡镇建设三年行动和美丽乡镇五年行动，建设一批公园、公厕、停车场等市政配套设施，圩镇面貌明显改善，大塘示范镇验收全市第一、古陂示范镇中期评估全市第二。</w:t>
      </w:r>
    </w:p>
    <w:p w:rsidR="00947B86" w:rsidRDefault="00000000">
      <w:pPr>
        <w:spacing w:line="560" w:lineRule="exact"/>
        <w:ind w:firstLineChars="200" w:firstLine="640"/>
        <w:textAlignment w:val="baseline"/>
        <w:rPr>
          <w:rFonts w:ascii="楷体" w:eastAsia="楷体" w:hAnsi="楷体" w:cs="楷体"/>
          <w:color w:val="000000"/>
          <w:sz w:val="32"/>
          <w:szCs w:val="32"/>
        </w:rPr>
      </w:pPr>
      <w:r>
        <w:rPr>
          <w:rFonts w:ascii="楷体" w:eastAsia="楷体" w:hAnsi="楷体" w:cs="楷体" w:hint="eastAsia"/>
          <w:color w:val="000000"/>
          <w:sz w:val="32"/>
          <w:szCs w:val="32"/>
        </w:rPr>
        <w:t>（二）持续加强建筑业监管</w:t>
      </w:r>
    </w:p>
    <w:p w:rsidR="00947B86" w:rsidRDefault="00000000">
      <w:pPr>
        <w:pStyle w:val="Bodytext1"/>
        <w:spacing w:line="620" w:lineRule="exact"/>
        <w:ind w:firstLine="620"/>
        <w:rPr>
          <w:rFonts w:ascii="仿宋" w:eastAsia="仿宋" w:hAnsi="仿宋" w:cs="仿宋"/>
          <w:color w:val="000000"/>
          <w:sz w:val="30"/>
          <w:szCs w:val="30"/>
        </w:rPr>
      </w:pPr>
      <w:r>
        <w:rPr>
          <w:rFonts w:ascii="仿宋" w:eastAsia="仿宋" w:hAnsi="仿宋" w:cs="仿宋" w:hint="eastAsia"/>
          <w:color w:val="000000"/>
          <w:sz w:val="30"/>
          <w:szCs w:val="30"/>
        </w:rPr>
        <w:t>规范建筑业行业发展。印发了《关于加强我县绿色建筑建设工作的通知》，对符合条件的地块将装配式建筑、海绵城市、绿色建筑建设列入规划条件，并落实到方案审查、规划许可、规划核实等关键环节。加强施工图审查改革，出台《关于明确我县施工图审查改革工作有关事项的通知》，加强对低风险工程和一般工程施工图审查的事后监管。积极调解农民工工资发放工作，保障农民工的合法权益。</w:t>
      </w:r>
    </w:p>
    <w:p w:rsidR="00947B86" w:rsidRDefault="00000000">
      <w:pPr>
        <w:pStyle w:val="Bodytext1"/>
        <w:spacing w:line="620" w:lineRule="exact"/>
        <w:ind w:firstLine="620"/>
        <w:rPr>
          <w:rFonts w:ascii="仿宋" w:eastAsia="仿宋" w:hAnsi="仿宋" w:cs="仿宋_GB2312"/>
          <w:sz w:val="32"/>
          <w:szCs w:val="32"/>
          <w:lang w:val="en-US" w:eastAsia="zh-CN" w:bidi="ar-SA"/>
        </w:rPr>
      </w:pPr>
      <w:r>
        <w:rPr>
          <w:rFonts w:ascii="仿宋" w:eastAsia="仿宋" w:hAnsi="仿宋" w:cs="仿宋" w:hint="eastAsia"/>
          <w:color w:val="000000"/>
          <w:sz w:val="30"/>
          <w:szCs w:val="30"/>
        </w:rPr>
        <w:t>建筑业安全生产工作稳中有序。</w:t>
      </w:r>
      <w:r>
        <w:rPr>
          <w:rFonts w:ascii="仿宋" w:eastAsia="仿宋" w:hAnsi="仿宋" w:cs="仿宋" w:hint="eastAsia"/>
          <w:color w:val="000000"/>
          <w:sz w:val="30"/>
          <w:szCs w:val="30"/>
          <w:lang w:val="en-US" w:eastAsia="zh-CN"/>
        </w:rPr>
        <w:t>对全县96个 527.77万平方米的在建工地开展了建筑施工安全专项整治三年行动和扬尘治理现场推进会，建立动态隐患排查销号台账，形成闭环管理，</w:t>
      </w:r>
      <w:r>
        <w:rPr>
          <w:rFonts w:ascii="仿宋" w:eastAsia="仿宋" w:hAnsi="仿宋" w:cs="仿宋" w:hint="eastAsia"/>
          <w:color w:val="000000"/>
          <w:sz w:val="30"/>
          <w:szCs w:val="30"/>
          <w:lang w:val="en-US" w:eastAsia="zh-CN"/>
        </w:rPr>
        <w:lastRenderedPageBreak/>
        <w:t>累计下发335份各类安全隐患通知书，并对各类违法违规项目进行处罚，共处罚项目51个，罚款金额达176.24万元，切实压实了企业主体责任。</w:t>
      </w:r>
    </w:p>
    <w:p w:rsidR="00947B86" w:rsidRDefault="00000000">
      <w:pPr>
        <w:pStyle w:val="aa"/>
        <w:spacing w:line="560" w:lineRule="exact"/>
        <w:ind w:firstLine="600"/>
        <w:jc w:val="left"/>
        <w:textAlignment w:val="baseline"/>
        <w:rPr>
          <w:rFonts w:ascii="仿宋" w:eastAsia="仿宋" w:hAnsi="仿宋" w:cs="仿宋"/>
          <w:color w:val="000000"/>
          <w:sz w:val="30"/>
          <w:szCs w:val="30"/>
          <w:lang w:bidi="zh-TW"/>
        </w:rPr>
      </w:pPr>
      <w:r>
        <w:rPr>
          <w:rFonts w:ascii="仿宋" w:eastAsia="仿宋" w:hAnsi="仿宋" w:cs="仿宋" w:hint="eastAsia"/>
          <w:color w:val="000000"/>
          <w:sz w:val="30"/>
          <w:szCs w:val="30"/>
          <w:lang w:bidi="zh-TW"/>
        </w:rPr>
        <w:t>（三）稳步做好城市更新工作</w:t>
      </w:r>
    </w:p>
    <w:p w:rsidR="00947B86" w:rsidRDefault="00000000">
      <w:pPr>
        <w:pStyle w:val="a4"/>
        <w:spacing w:line="560" w:lineRule="exact"/>
        <w:ind w:firstLineChars="200" w:firstLine="600"/>
        <w:textAlignment w:val="baseline"/>
        <w:rPr>
          <w:rFonts w:ascii="仿宋" w:eastAsia="仿宋" w:hAnsi="仿宋" w:cs="仿宋"/>
          <w:color w:val="000000"/>
          <w:sz w:val="30"/>
          <w:szCs w:val="30"/>
          <w:lang w:val="en-US" w:bidi="zh-TW"/>
        </w:rPr>
      </w:pPr>
      <w:r>
        <w:rPr>
          <w:rFonts w:ascii="仿宋" w:eastAsia="仿宋" w:hAnsi="仿宋" w:cs="仿宋" w:hint="eastAsia"/>
          <w:color w:val="000000"/>
          <w:sz w:val="30"/>
          <w:szCs w:val="30"/>
          <w:lang w:val="en-US" w:bidi="zh-TW"/>
        </w:rPr>
        <w:t>住房保障工作扎实有力。2021年我县棚户区改造任务为3023户，目前已全部完成。城南棚改安置房一、二期和南山花园二期项目，有序推进。全面完成2021年500套新筹集公租房任务，顺利完成了359户公共租赁住房摇号工作，扎实做好625户符合租赁补贴家庭的季度补贴发放工作。2021年我县人才住房建设目标任务为900套，已筹建完成924套。今年4月份举行了人才住房摇号活动，房源为城南花园和金橙花园人才住房共286套，已摇号分配192套，优化人才创新创业环境，解决人才后顾之忧。</w:t>
      </w:r>
    </w:p>
    <w:p w:rsidR="00947B86" w:rsidRDefault="00000000">
      <w:pPr>
        <w:spacing w:line="560" w:lineRule="exact"/>
        <w:ind w:firstLineChars="200" w:firstLine="600"/>
        <w:textAlignment w:val="baseline"/>
        <w:rPr>
          <w:rFonts w:ascii="仿宋" w:eastAsia="仿宋" w:hAnsi="仿宋" w:cs="仿宋"/>
          <w:color w:val="000000"/>
          <w:sz w:val="30"/>
          <w:szCs w:val="30"/>
          <w:lang w:bidi="zh-TW"/>
        </w:rPr>
      </w:pPr>
      <w:r>
        <w:rPr>
          <w:rFonts w:ascii="仿宋" w:eastAsia="仿宋" w:hAnsi="仿宋" w:cs="仿宋" w:hint="eastAsia"/>
          <w:color w:val="000000"/>
          <w:sz w:val="30"/>
          <w:szCs w:val="30"/>
          <w:lang w:bidi="zh-TW"/>
        </w:rPr>
        <w:t>老旧小区改造顺利推进。2021年实施老旧小区改造23个，项目改造实施点108个，改造户数3618户，改造栋数263栋，改造建筑面积41.7098万平方米，总投资约8052万元，共争取到中央补助资金2140万。</w:t>
      </w:r>
      <w:r w:rsidR="005C4272">
        <w:rPr>
          <w:rFonts w:ascii="仿宋" w:eastAsia="仿宋" w:hAnsi="仿宋" w:cs="仿宋" w:hint="eastAsia"/>
          <w:color w:val="000000"/>
          <w:sz w:val="30"/>
          <w:szCs w:val="30"/>
          <w:lang w:bidi="zh-TW"/>
        </w:rPr>
        <w:t>截至</w:t>
      </w:r>
      <w:r>
        <w:rPr>
          <w:rFonts w:ascii="仿宋" w:eastAsia="仿宋" w:hAnsi="仿宋" w:cs="仿宋" w:hint="eastAsia"/>
          <w:color w:val="000000"/>
          <w:sz w:val="30"/>
          <w:szCs w:val="30"/>
          <w:lang w:bidi="zh-TW"/>
        </w:rPr>
        <w:t>目前全县108个小区改造点的初步设计、施工图设计已完成，预算编制工作已完成。其中政府安置小区、交通局家属楼、电影公司家属楼、皮防所家属楼等26个改造点已完工，其他小区正在进行改造工作工作。</w:t>
      </w:r>
    </w:p>
    <w:p w:rsidR="00947B86" w:rsidRDefault="00000000">
      <w:pPr>
        <w:pStyle w:val="aa"/>
        <w:widowControl/>
        <w:spacing w:line="560" w:lineRule="exact"/>
        <w:ind w:firstLine="600"/>
        <w:jc w:val="left"/>
        <w:textAlignment w:val="center"/>
        <w:rPr>
          <w:rFonts w:ascii="仿宋" w:eastAsia="仿宋" w:hAnsi="仿宋" w:cs="仿宋"/>
          <w:color w:val="000000"/>
          <w:sz w:val="30"/>
          <w:szCs w:val="30"/>
          <w:lang w:bidi="zh-TW"/>
        </w:rPr>
      </w:pPr>
      <w:r>
        <w:rPr>
          <w:rFonts w:ascii="仿宋" w:eastAsia="仿宋" w:hAnsi="仿宋" w:cs="仿宋" w:hint="eastAsia"/>
          <w:color w:val="000000"/>
          <w:sz w:val="30"/>
          <w:szCs w:val="30"/>
          <w:lang w:bidi="zh-TW"/>
        </w:rPr>
        <w:t>房地产市场平稳健康发展。认真贯彻落实“房子是用来住的，不是用来炒的”定位要求，抓好房地产市场调控，重点监测商品住宅价格、销售量的变化情况以及住宅与非住宅商品房库存情况，房地产市场全年平稳健康发展。</w:t>
      </w:r>
    </w:p>
    <w:p w:rsidR="00947B86" w:rsidRDefault="00000000">
      <w:pPr>
        <w:pStyle w:val="aa"/>
        <w:widowControl/>
        <w:spacing w:line="560" w:lineRule="exact"/>
        <w:ind w:firstLine="600"/>
        <w:jc w:val="left"/>
        <w:textAlignment w:val="center"/>
        <w:rPr>
          <w:rFonts w:ascii="仿宋" w:eastAsia="仿宋" w:hAnsi="仿宋" w:cs="仿宋"/>
          <w:color w:val="000000"/>
          <w:sz w:val="30"/>
          <w:szCs w:val="30"/>
          <w:lang w:bidi="zh-TW"/>
        </w:rPr>
      </w:pPr>
      <w:r>
        <w:rPr>
          <w:rFonts w:ascii="仿宋" w:eastAsia="仿宋" w:hAnsi="仿宋" w:cs="仿宋" w:hint="eastAsia"/>
          <w:color w:val="000000"/>
          <w:sz w:val="30"/>
          <w:szCs w:val="30"/>
          <w:lang w:bidi="zh-TW"/>
        </w:rPr>
        <w:lastRenderedPageBreak/>
        <w:t>电梯加装工作全面推进。结合“我为群众办实事”实践活动和老旧小区改造，鼓励和支持有条件的小区加装电梯，出台了《信丰县城区既有住宅加装电梯暂行办法》（2021修订版）等文件，对既有住宅小区加装电梯摸底，摸底全县城区住宅小区加装电梯有意愿51个单元，目前已有8台加装电梯通过审批，3台已完成，2台正在开工建设当中，力争到2022年，县城既有住宅加装电梯工作全面铺开。</w:t>
      </w:r>
    </w:p>
    <w:p w:rsidR="00947B86" w:rsidRDefault="00000000">
      <w:pPr>
        <w:pStyle w:val="aa"/>
        <w:widowControl/>
        <w:spacing w:line="560" w:lineRule="exact"/>
        <w:ind w:firstLine="600"/>
        <w:jc w:val="left"/>
        <w:textAlignment w:val="center"/>
        <w:rPr>
          <w:rFonts w:ascii="仿宋" w:eastAsia="仿宋" w:hAnsi="仿宋" w:cs="仿宋"/>
          <w:color w:val="000000"/>
          <w:sz w:val="30"/>
          <w:szCs w:val="30"/>
          <w:lang w:bidi="zh-TW"/>
        </w:rPr>
      </w:pPr>
      <w:r>
        <w:rPr>
          <w:rFonts w:ascii="仿宋" w:eastAsia="仿宋" w:hAnsi="仿宋" w:cs="仿宋" w:hint="eastAsia"/>
          <w:color w:val="000000"/>
          <w:sz w:val="30"/>
          <w:szCs w:val="30"/>
          <w:lang w:bidi="zh-TW"/>
        </w:rPr>
        <w:t>（四）扎实做好信访维稳工作</w:t>
      </w:r>
    </w:p>
    <w:p w:rsidR="00947B86" w:rsidRDefault="00000000">
      <w:pPr>
        <w:pStyle w:val="aa"/>
        <w:widowControl/>
        <w:spacing w:line="560" w:lineRule="exact"/>
        <w:ind w:firstLine="600"/>
        <w:jc w:val="left"/>
        <w:textAlignment w:val="center"/>
        <w:rPr>
          <w:rFonts w:ascii="仿宋" w:eastAsia="仿宋" w:hAnsi="仿宋"/>
          <w:sz w:val="32"/>
          <w:szCs w:val="32"/>
        </w:rPr>
      </w:pPr>
      <w:r>
        <w:rPr>
          <w:rFonts w:ascii="仿宋" w:eastAsia="仿宋" w:hAnsi="仿宋" w:cs="仿宋" w:hint="eastAsia"/>
          <w:color w:val="000000"/>
          <w:sz w:val="30"/>
          <w:szCs w:val="30"/>
          <w:lang w:bidi="zh-TW"/>
        </w:rPr>
        <w:t xml:space="preserve">认真落实领导包案、信访值班等工作制度。2021年，我局共受理江西信访网上服务中心302件、问政平台337件，网络舆情专报48件，民声通道信息69件，12345政府服务热线1899件，其他渠道17件，合计2672件。同时认真办理人大建议、政协提案及做好矛盾纠纷调处工作。 </w:t>
      </w:r>
    </w:p>
    <w:p w:rsidR="00947B86" w:rsidRDefault="00947B86">
      <w:pPr>
        <w:pStyle w:val="aa"/>
        <w:widowControl/>
        <w:spacing w:line="560" w:lineRule="exact"/>
        <w:ind w:firstLine="600"/>
        <w:jc w:val="left"/>
        <w:textAlignment w:val="center"/>
        <w:rPr>
          <w:rFonts w:ascii="仿宋" w:eastAsia="仿宋" w:hAnsi="仿宋" w:cs="仿宋"/>
          <w:color w:val="000000"/>
          <w:sz w:val="30"/>
          <w:szCs w:val="30"/>
          <w:lang w:bidi="zh-TW"/>
        </w:rPr>
      </w:pPr>
    </w:p>
    <w:p w:rsidR="00947B86" w:rsidRDefault="00000000">
      <w:pPr>
        <w:numPr>
          <w:ilvl w:val="0"/>
          <w:numId w:val="2"/>
        </w:numPr>
        <w:ind w:firstLine="420"/>
        <w:rPr>
          <w:rFonts w:ascii="仿宋" w:eastAsia="仿宋" w:hAnsi="仿宋" w:cs="仿宋"/>
          <w:b/>
          <w:bCs/>
          <w:sz w:val="30"/>
          <w:szCs w:val="30"/>
          <w:lang w:val="zh-CN" w:bidi="zh-CN"/>
        </w:rPr>
      </w:pPr>
      <w:r>
        <w:rPr>
          <w:rFonts w:ascii="仿宋" w:eastAsia="仿宋" w:hAnsi="仿宋" w:cs="仿宋" w:hint="eastAsia"/>
          <w:b/>
          <w:bCs/>
          <w:sz w:val="30"/>
          <w:szCs w:val="30"/>
          <w:lang w:bidi="zh-CN"/>
        </w:rPr>
        <w:t>当年部门年度整体支出绩效目标</w:t>
      </w:r>
    </w:p>
    <w:p w:rsidR="00947B86" w:rsidRDefault="00000000">
      <w:pPr>
        <w:ind w:left="420" w:firstLineChars="100" w:firstLine="300"/>
        <w:rPr>
          <w:rFonts w:ascii="仿宋" w:eastAsia="仿宋" w:hAnsi="仿宋" w:cs="仿宋"/>
          <w:sz w:val="30"/>
          <w:szCs w:val="30"/>
          <w:lang w:val="zh-CN" w:bidi="zh-CN"/>
        </w:rPr>
      </w:pPr>
      <w:r>
        <w:rPr>
          <w:rFonts w:ascii="仿宋" w:eastAsia="仿宋" w:hAnsi="仿宋" w:cs="仿宋" w:hint="eastAsia"/>
          <w:sz w:val="30"/>
          <w:szCs w:val="30"/>
          <w:lang w:val="zh-CN" w:bidi="zh-CN"/>
        </w:rPr>
        <w:t>评价得分及等级标准。</w:t>
      </w:r>
    </w:p>
    <w:p w:rsidR="00947B86" w:rsidRDefault="00000000">
      <w:pPr>
        <w:pStyle w:val="Bodytext1"/>
        <w:spacing w:after="300" w:line="626" w:lineRule="exact"/>
        <w:ind w:firstLine="640"/>
        <w:rPr>
          <w:rFonts w:ascii="仿宋" w:eastAsia="仿宋" w:hAnsi="仿宋" w:cs="仿宋"/>
          <w:sz w:val="30"/>
          <w:szCs w:val="30"/>
          <w:lang w:val="zh-CN" w:eastAsia="zh-CN" w:bidi="zh-CN"/>
        </w:rPr>
      </w:pPr>
      <w:r>
        <w:rPr>
          <w:rFonts w:ascii="仿宋" w:eastAsia="仿宋" w:hAnsi="仿宋" w:cs="仿宋" w:hint="eastAsia"/>
          <w:sz w:val="30"/>
          <w:szCs w:val="30"/>
          <w:lang w:val="en-US" w:eastAsia="zh-CN" w:bidi="zh-CN"/>
        </w:rPr>
        <w:t>1.</w:t>
      </w:r>
      <w:r>
        <w:rPr>
          <w:rFonts w:ascii="仿宋" w:eastAsia="仿宋" w:hAnsi="仿宋" w:cs="仿宋" w:hint="eastAsia"/>
          <w:sz w:val="30"/>
          <w:szCs w:val="30"/>
          <w:lang w:val="zh-CN" w:eastAsia="zh-CN" w:bidi="zh-CN"/>
        </w:rPr>
        <w:t>本部门20</w:t>
      </w:r>
      <w:r>
        <w:rPr>
          <w:rFonts w:ascii="仿宋" w:eastAsia="仿宋" w:hAnsi="仿宋" w:cs="仿宋" w:hint="eastAsia"/>
          <w:sz w:val="30"/>
          <w:szCs w:val="30"/>
          <w:lang w:val="en-US" w:eastAsia="zh-CN" w:bidi="zh-CN"/>
        </w:rPr>
        <w:t>21</w:t>
      </w:r>
      <w:r>
        <w:rPr>
          <w:rFonts w:ascii="仿宋" w:eastAsia="仿宋" w:hAnsi="仿宋" w:cs="仿宋" w:hint="eastAsia"/>
          <w:sz w:val="30"/>
          <w:szCs w:val="30"/>
          <w:lang w:val="zh-CN" w:eastAsia="zh-CN" w:bidi="zh-CN"/>
        </w:rPr>
        <w:t>年度整体支出绩效评价得分</w:t>
      </w:r>
      <w:r>
        <w:rPr>
          <w:rFonts w:ascii="仿宋" w:eastAsia="仿宋" w:hAnsi="仿宋" w:cs="仿宋" w:hint="eastAsia"/>
          <w:color w:val="000000" w:themeColor="text1"/>
          <w:sz w:val="30"/>
          <w:szCs w:val="30"/>
          <w:lang w:val="zh-CN" w:eastAsia="zh-CN" w:bidi="zh-CN"/>
        </w:rPr>
        <w:t>为</w:t>
      </w:r>
      <w:r>
        <w:rPr>
          <w:rFonts w:ascii="仿宋" w:eastAsia="仿宋" w:hAnsi="仿宋" w:cs="仿宋" w:hint="eastAsia"/>
          <w:color w:val="000000" w:themeColor="text1"/>
          <w:sz w:val="30"/>
          <w:szCs w:val="30"/>
          <w:lang w:val="en-US" w:eastAsia="zh-CN" w:bidi="zh-CN"/>
        </w:rPr>
        <w:t>98</w:t>
      </w:r>
      <w:r>
        <w:rPr>
          <w:rFonts w:ascii="仿宋" w:eastAsia="仿宋" w:hAnsi="仿宋" w:cs="仿宋" w:hint="eastAsia"/>
          <w:color w:val="000000" w:themeColor="text1"/>
          <w:sz w:val="30"/>
          <w:szCs w:val="30"/>
          <w:lang w:val="zh-CN" w:eastAsia="zh-CN" w:bidi="zh-CN"/>
        </w:rPr>
        <w:t>分</w:t>
      </w:r>
      <w:r>
        <w:rPr>
          <w:rFonts w:ascii="仿宋" w:eastAsia="仿宋" w:hAnsi="仿宋" w:cs="仿宋" w:hint="eastAsia"/>
          <w:sz w:val="30"/>
          <w:szCs w:val="30"/>
          <w:lang w:val="zh-CN" w:eastAsia="zh-CN" w:bidi="zh-CN"/>
        </w:rPr>
        <w:t>，评价等级为优。</w:t>
      </w:r>
    </w:p>
    <w:p w:rsidR="00947B86" w:rsidRDefault="00000000">
      <w:pPr>
        <w:pStyle w:val="Bodytext1"/>
        <w:tabs>
          <w:tab w:val="left" w:pos="1270"/>
        </w:tabs>
        <w:spacing w:line="240" w:lineRule="auto"/>
        <w:ind w:left="580" w:firstLine="0"/>
        <w:jc w:val="left"/>
        <w:rPr>
          <w:rFonts w:ascii="仿宋" w:eastAsia="仿宋" w:hAnsi="仿宋" w:cs="仿宋"/>
          <w:sz w:val="30"/>
          <w:szCs w:val="30"/>
          <w:lang w:val="zh-CN" w:eastAsia="zh-CN" w:bidi="zh-CN"/>
        </w:rPr>
      </w:pPr>
      <w:bookmarkStart w:id="12" w:name="bookmark34"/>
      <w:bookmarkEnd w:id="12"/>
      <w:r>
        <w:rPr>
          <w:rFonts w:ascii="仿宋" w:eastAsia="仿宋" w:hAnsi="仿宋" w:cs="仿宋" w:hint="eastAsia"/>
          <w:sz w:val="30"/>
          <w:szCs w:val="30"/>
          <w:lang w:val="en-US" w:eastAsia="zh-CN" w:bidi="zh-CN"/>
        </w:rPr>
        <w:t>2.</w:t>
      </w:r>
      <w:r>
        <w:rPr>
          <w:rFonts w:ascii="仿宋" w:eastAsia="仿宋" w:hAnsi="仿宋" w:cs="仿宋" w:hint="eastAsia"/>
          <w:sz w:val="30"/>
          <w:szCs w:val="30"/>
          <w:lang w:val="zh-CN" w:eastAsia="zh-CN" w:bidi="zh-CN"/>
        </w:rPr>
        <w:t>部门履职及履职效益情况。</w:t>
      </w:r>
    </w:p>
    <w:p w:rsidR="00947B86" w:rsidRDefault="00000000">
      <w:pPr>
        <w:pStyle w:val="Bodytext1"/>
        <w:tabs>
          <w:tab w:val="left" w:pos="999"/>
        </w:tabs>
        <w:spacing w:line="619" w:lineRule="exact"/>
        <w:ind w:firstLineChars="200" w:firstLine="600"/>
        <w:rPr>
          <w:rFonts w:ascii="仿宋" w:eastAsia="仿宋" w:hAnsi="仿宋" w:cs="仿宋"/>
          <w:sz w:val="30"/>
          <w:szCs w:val="30"/>
        </w:rPr>
      </w:pPr>
      <w:bookmarkStart w:id="13" w:name="bookmark35"/>
      <w:bookmarkEnd w:id="13"/>
      <w:r>
        <w:rPr>
          <w:rFonts w:ascii="仿宋" w:eastAsia="仿宋" w:hAnsi="仿宋" w:cs="仿宋" w:hint="eastAsia"/>
          <w:color w:val="000000"/>
          <w:sz w:val="30"/>
          <w:szCs w:val="30"/>
          <w:lang w:val="en-US" w:eastAsia="zh-CN"/>
        </w:rPr>
        <w:t>(1)</w:t>
      </w:r>
      <w:r>
        <w:rPr>
          <w:rFonts w:ascii="仿宋" w:eastAsia="仿宋" w:hAnsi="仿宋" w:cs="仿宋" w:hint="eastAsia"/>
          <w:color w:val="000000"/>
          <w:sz w:val="30"/>
          <w:szCs w:val="30"/>
        </w:rPr>
        <w:t>目标依据充分性：依据法律法规符合部门工作职责以及中长期年度计划，具有科学性和前瞻性。</w:t>
      </w:r>
    </w:p>
    <w:p w:rsidR="00947B86" w:rsidRDefault="00000000">
      <w:pPr>
        <w:pStyle w:val="Bodytext1"/>
        <w:tabs>
          <w:tab w:val="left" w:pos="999"/>
        </w:tabs>
        <w:spacing w:line="626" w:lineRule="exact"/>
        <w:ind w:firstLineChars="200" w:firstLine="600"/>
        <w:rPr>
          <w:rFonts w:ascii="仿宋" w:eastAsia="仿宋" w:hAnsi="仿宋" w:cs="仿宋"/>
          <w:sz w:val="30"/>
          <w:szCs w:val="30"/>
        </w:rPr>
      </w:pPr>
      <w:bookmarkStart w:id="14" w:name="bookmark36"/>
      <w:bookmarkEnd w:id="14"/>
      <w:r>
        <w:rPr>
          <w:rFonts w:ascii="仿宋" w:eastAsia="仿宋" w:hAnsi="仿宋" w:cs="仿宋" w:hint="eastAsia"/>
          <w:color w:val="000000"/>
          <w:sz w:val="30"/>
          <w:szCs w:val="30"/>
          <w:lang w:val="en-US" w:eastAsia="zh-CN"/>
        </w:rPr>
        <w:t>(2)</w:t>
      </w:r>
      <w:r>
        <w:rPr>
          <w:rFonts w:ascii="仿宋" w:eastAsia="仿宋" w:hAnsi="仿宋" w:cs="仿宋" w:hint="eastAsia"/>
          <w:color w:val="000000"/>
          <w:sz w:val="30"/>
          <w:szCs w:val="30"/>
        </w:rPr>
        <w:t>工作目标合理性：符合客观实际、工作目标细化分解，使其可衡量、可比较。</w:t>
      </w:r>
    </w:p>
    <w:p w:rsidR="00947B86" w:rsidRDefault="00000000">
      <w:pPr>
        <w:pStyle w:val="Bodytext1"/>
        <w:tabs>
          <w:tab w:val="left" w:pos="999"/>
        </w:tabs>
        <w:spacing w:line="626" w:lineRule="exact"/>
        <w:ind w:firstLineChars="200" w:firstLine="600"/>
        <w:rPr>
          <w:rFonts w:ascii="仿宋" w:eastAsia="仿宋" w:hAnsi="仿宋" w:cs="仿宋"/>
          <w:sz w:val="30"/>
          <w:szCs w:val="30"/>
        </w:rPr>
      </w:pPr>
      <w:bookmarkStart w:id="15" w:name="bookmark37"/>
      <w:bookmarkEnd w:id="15"/>
      <w:r>
        <w:rPr>
          <w:rFonts w:ascii="仿宋" w:eastAsia="仿宋" w:hAnsi="仿宋" w:cs="仿宋" w:hint="eastAsia"/>
          <w:color w:val="000000"/>
          <w:sz w:val="30"/>
          <w:szCs w:val="30"/>
          <w:lang w:val="en-US" w:eastAsia="zh-CN"/>
        </w:rPr>
        <w:lastRenderedPageBreak/>
        <w:t>(3)</w:t>
      </w:r>
      <w:r>
        <w:rPr>
          <w:rFonts w:ascii="仿宋" w:eastAsia="仿宋" w:hAnsi="仿宋" w:cs="仿宋" w:hint="eastAsia"/>
          <w:color w:val="000000"/>
          <w:sz w:val="30"/>
          <w:szCs w:val="30"/>
        </w:rPr>
        <w:t>目标管理有效性：各项工作分解至各责任股室，有效保障目标实现，目标管理工作机制科学、合理，能有效保障目标执行和落地。</w:t>
      </w:r>
    </w:p>
    <w:p w:rsidR="00947B86" w:rsidRDefault="00000000">
      <w:pPr>
        <w:pStyle w:val="Bodytext1"/>
        <w:numPr>
          <w:ilvl w:val="0"/>
          <w:numId w:val="3"/>
        </w:numPr>
        <w:tabs>
          <w:tab w:val="left" w:pos="999"/>
        </w:tabs>
        <w:spacing w:line="626" w:lineRule="exact"/>
        <w:ind w:firstLine="580"/>
        <w:jc w:val="left"/>
        <w:rPr>
          <w:rFonts w:ascii="仿宋" w:eastAsia="仿宋" w:hAnsi="仿宋" w:cs="仿宋"/>
          <w:sz w:val="30"/>
          <w:szCs w:val="30"/>
        </w:rPr>
      </w:pPr>
      <w:bookmarkStart w:id="16" w:name="bookmark38"/>
      <w:bookmarkEnd w:id="16"/>
      <w:r>
        <w:rPr>
          <w:rFonts w:ascii="仿宋" w:eastAsia="仿宋" w:hAnsi="仿宋" w:cs="仿宋" w:hint="eastAsia"/>
          <w:color w:val="000000"/>
          <w:sz w:val="30"/>
          <w:szCs w:val="30"/>
        </w:rPr>
        <w:t>总体工作完成率：年度工作</w:t>
      </w:r>
      <w:r>
        <w:rPr>
          <w:rFonts w:ascii="仿宋" w:eastAsia="仿宋" w:hAnsi="仿宋" w:cs="仿宋" w:hint="eastAsia"/>
          <w:color w:val="000000"/>
          <w:sz w:val="30"/>
          <w:szCs w:val="30"/>
          <w:lang w:eastAsia="zh-CN"/>
        </w:rPr>
        <w:t>目标</w:t>
      </w:r>
      <w:r>
        <w:rPr>
          <w:rFonts w:ascii="仿宋" w:eastAsia="仿宋" w:hAnsi="仿宋" w:cs="仿宋" w:hint="eastAsia"/>
          <w:color w:val="000000"/>
          <w:sz w:val="30"/>
          <w:szCs w:val="30"/>
        </w:rPr>
        <w:t>总要点主要分为</w:t>
      </w:r>
      <w:r>
        <w:rPr>
          <w:rFonts w:ascii="仿宋" w:eastAsia="仿宋" w:hAnsi="仿宋" w:cs="仿宋" w:hint="eastAsia"/>
          <w:color w:val="000000"/>
          <w:sz w:val="30"/>
          <w:szCs w:val="30"/>
          <w:lang w:val="en-US" w:eastAsia="zh-CN"/>
        </w:rPr>
        <w:t>4</w:t>
      </w:r>
      <w:r>
        <w:rPr>
          <w:rFonts w:ascii="仿宋" w:eastAsia="仿宋" w:hAnsi="仿宋" w:cs="仿宋" w:hint="eastAsia"/>
          <w:color w:val="000000"/>
          <w:sz w:val="30"/>
          <w:szCs w:val="30"/>
        </w:rPr>
        <w:t>个方面，</w:t>
      </w:r>
      <w:r>
        <w:rPr>
          <w:rFonts w:ascii="仿宋" w:eastAsia="仿宋" w:hAnsi="仿宋" w:cs="仿宋" w:hint="eastAsia"/>
          <w:color w:val="000000"/>
          <w:sz w:val="30"/>
          <w:szCs w:val="30"/>
          <w:lang w:val="en-US" w:eastAsia="zh-CN"/>
        </w:rPr>
        <w:t>2021</w:t>
      </w:r>
      <w:r>
        <w:rPr>
          <w:rFonts w:ascii="仿宋" w:eastAsia="仿宋" w:hAnsi="仿宋" w:cs="仿宋" w:hint="eastAsia"/>
          <w:color w:val="000000"/>
          <w:sz w:val="30"/>
          <w:szCs w:val="30"/>
        </w:rPr>
        <w:t>年顺利完成，完成率</w:t>
      </w:r>
      <w:r>
        <w:rPr>
          <w:rFonts w:ascii="仿宋" w:eastAsia="仿宋" w:hAnsi="仿宋" w:cs="仿宋" w:hint="eastAsia"/>
          <w:color w:val="000000"/>
          <w:sz w:val="30"/>
          <w:szCs w:val="30"/>
          <w:lang w:val="en-US" w:eastAsia="zh-CN" w:bidi="en-US"/>
        </w:rPr>
        <w:t>100%</w:t>
      </w:r>
      <w:r>
        <w:rPr>
          <w:rFonts w:ascii="仿宋" w:eastAsia="仿宋" w:hAnsi="仿宋" w:cs="仿宋" w:hint="eastAsia"/>
          <w:color w:val="000000"/>
          <w:sz w:val="30"/>
          <w:szCs w:val="30"/>
          <w:vertAlign w:val="subscript"/>
          <w:lang w:val="en-US" w:eastAsia="zh-CN" w:bidi="en-US"/>
        </w:rPr>
        <w:t>o</w:t>
      </w:r>
    </w:p>
    <w:p w:rsidR="00947B86" w:rsidRDefault="00000000">
      <w:pPr>
        <w:pStyle w:val="Bodytext1"/>
        <w:numPr>
          <w:ilvl w:val="0"/>
          <w:numId w:val="3"/>
        </w:numPr>
        <w:tabs>
          <w:tab w:val="left" w:pos="999"/>
        </w:tabs>
        <w:spacing w:line="626" w:lineRule="exact"/>
        <w:ind w:firstLine="580"/>
        <w:jc w:val="left"/>
        <w:rPr>
          <w:rFonts w:ascii="仿宋" w:eastAsia="仿宋" w:hAnsi="仿宋" w:cs="仿宋"/>
          <w:color w:val="000000"/>
          <w:sz w:val="30"/>
          <w:szCs w:val="30"/>
          <w:lang w:val="en-US" w:eastAsia="zh-CN"/>
        </w:rPr>
      </w:pPr>
      <w:bookmarkStart w:id="17" w:name="bookmark39"/>
      <w:bookmarkEnd w:id="17"/>
      <w:r>
        <w:rPr>
          <w:rFonts w:ascii="仿宋" w:eastAsia="仿宋" w:hAnsi="仿宋" w:cs="仿宋" w:hint="eastAsia"/>
          <w:color w:val="000000"/>
          <w:sz w:val="30"/>
          <w:szCs w:val="30"/>
        </w:rPr>
        <w:t>完成重点工作目标值：（一）加快推进城乡融合发展</w:t>
      </w:r>
      <w:r>
        <w:rPr>
          <w:rFonts w:ascii="仿宋" w:eastAsia="仿宋" w:hAnsi="仿宋" w:cs="仿宋" w:hint="eastAsia"/>
          <w:color w:val="000000"/>
          <w:sz w:val="30"/>
          <w:szCs w:val="30"/>
          <w:lang w:eastAsia="zh-CN"/>
        </w:rPr>
        <w:t>，</w:t>
      </w:r>
      <w:r>
        <w:rPr>
          <w:rFonts w:ascii="仿宋" w:eastAsia="仿宋" w:hAnsi="仿宋" w:cs="仿宋" w:hint="eastAsia"/>
          <w:color w:val="000000"/>
          <w:sz w:val="30"/>
          <w:szCs w:val="30"/>
        </w:rPr>
        <w:t>有序推进新型城镇化建设。（二）持续加强建筑业监管</w:t>
      </w:r>
      <w:r>
        <w:rPr>
          <w:rFonts w:ascii="仿宋" w:eastAsia="仿宋" w:hAnsi="仿宋" w:cs="仿宋" w:hint="eastAsia"/>
          <w:color w:val="000000"/>
          <w:sz w:val="30"/>
          <w:szCs w:val="30"/>
          <w:lang w:eastAsia="zh-CN"/>
        </w:rPr>
        <w:t>，</w:t>
      </w:r>
      <w:r>
        <w:rPr>
          <w:rFonts w:ascii="仿宋" w:eastAsia="仿宋" w:hAnsi="仿宋" w:cs="仿宋" w:hint="eastAsia"/>
          <w:color w:val="000000"/>
          <w:sz w:val="30"/>
          <w:szCs w:val="30"/>
        </w:rPr>
        <w:t>规范建筑业行业发展。（三）稳步做好城市更新工作</w:t>
      </w:r>
      <w:r>
        <w:rPr>
          <w:rFonts w:ascii="仿宋" w:eastAsia="仿宋" w:hAnsi="仿宋" w:cs="仿宋" w:hint="eastAsia"/>
          <w:color w:val="000000"/>
          <w:sz w:val="30"/>
          <w:szCs w:val="30"/>
          <w:lang w:eastAsia="zh-CN"/>
        </w:rPr>
        <w:t>，</w:t>
      </w:r>
      <w:r>
        <w:rPr>
          <w:rFonts w:ascii="仿宋" w:eastAsia="仿宋" w:hAnsi="仿宋" w:cs="仿宋" w:hint="eastAsia"/>
          <w:color w:val="000000"/>
          <w:sz w:val="30"/>
          <w:szCs w:val="30"/>
        </w:rPr>
        <w:t>住房保障工作扎实有力。（四）扎实做好信访维稳工作</w:t>
      </w:r>
    </w:p>
    <w:p w:rsidR="00947B86" w:rsidRDefault="00000000">
      <w:pPr>
        <w:pStyle w:val="Bodytext1"/>
        <w:numPr>
          <w:ilvl w:val="0"/>
          <w:numId w:val="2"/>
        </w:numPr>
        <w:tabs>
          <w:tab w:val="left" w:pos="999"/>
        </w:tabs>
        <w:spacing w:after="60" w:line="626" w:lineRule="exact"/>
        <w:ind w:firstLine="420"/>
        <w:rPr>
          <w:rFonts w:ascii="仿宋" w:eastAsia="仿宋" w:hAnsi="仿宋" w:cs="仿宋"/>
          <w:b/>
          <w:bCs/>
          <w:sz w:val="30"/>
          <w:szCs w:val="30"/>
          <w:lang w:val="en-US" w:eastAsia="zh-CN"/>
        </w:rPr>
      </w:pPr>
      <w:r>
        <w:rPr>
          <w:rFonts w:ascii="仿宋" w:eastAsia="仿宋" w:hAnsi="仿宋" w:cs="仿宋" w:hint="eastAsia"/>
          <w:b/>
          <w:bCs/>
          <w:sz w:val="30"/>
          <w:szCs w:val="30"/>
          <w:lang w:val="en-US" w:eastAsia="zh-CN"/>
        </w:rPr>
        <w:t>部门预算绩效管理开展情况。</w:t>
      </w:r>
    </w:p>
    <w:p w:rsidR="00947B86" w:rsidRDefault="00000000">
      <w:pPr>
        <w:ind w:firstLineChars="200" w:firstLine="600"/>
        <w:rPr>
          <w:rFonts w:ascii="仿宋" w:eastAsia="仿宋" w:hAnsi="仿宋" w:cs="仿宋"/>
          <w:sz w:val="30"/>
          <w:szCs w:val="30"/>
        </w:rPr>
      </w:pPr>
      <w:r>
        <w:rPr>
          <w:rFonts w:ascii="仿宋" w:eastAsia="仿宋" w:hAnsi="仿宋" w:cs="仿宋" w:hint="eastAsia"/>
          <w:sz w:val="30"/>
          <w:szCs w:val="30"/>
        </w:rPr>
        <w:t>2021年，我单位以绩效目标实现为导向，进一步加强制度建设，提升自评质量，预算绩效管理取得新成效。一是抓好绩效目标编制，及时报送绩效目标。二是探索绩效跟踪监控，要求加强过程监控。三是深入开展重点支出绩效评价，对专项资金实施绩效自评和项目核查，在此基础上形成自评报告。四是强化评价结果应用，组织绩效自评和绩效跟踪监控，对发现的问题及时改进，加强评价结果与项目资金安排的衔接。五是健全绩效管理工作机制，明确职责分工，努力提高了绩效管理工作水平。</w:t>
      </w:r>
    </w:p>
    <w:p w:rsidR="00947B86" w:rsidRDefault="00000000">
      <w:pPr>
        <w:ind w:firstLineChars="200" w:firstLine="600"/>
        <w:rPr>
          <w:rFonts w:ascii="仿宋" w:eastAsia="仿宋" w:hAnsi="仿宋" w:cs="仿宋"/>
          <w:sz w:val="30"/>
          <w:szCs w:val="30"/>
        </w:rPr>
      </w:pPr>
      <w:r>
        <w:rPr>
          <w:rFonts w:ascii="仿宋" w:eastAsia="仿宋" w:hAnsi="仿宋" w:cs="仿宋" w:hint="eastAsia"/>
          <w:sz w:val="30"/>
          <w:szCs w:val="30"/>
        </w:rPr>
        <w:t>2021年度我局主要绩效管理工作分为以下几点：</w:t>
      </w:r>
    </w:p>
    <w:p w:rsidR="00947B86" w:rsidRDefault="00000000">
      <w:pPr>
        <w:numPr>
          <w:ilvl w:val="0"/>
          <w:numId w:val="4"/>
        </w:numPr>
        <w:ind w:firstLineChars="200" w:firstLine="600"/>
        <w:rPr>
          <w:rFonts w:ascii="仿宋" w:eastAsia="仿宋" w:hAnsi="仿宋" w:cs="仿宋"/>
          <w:sz w:val="30"/>
          <w:szCs w:val="30"/>
        </w:rPr>
      </w:pPr>
      <w:r>
        <w:rPr>
          <w:rFonts w:ascii="仿宋" w:eastAsia="仿宋" w:hAnsi="仿宋" w:cs="仿宋" w:hint="eastAsia"/>
          <w:sz w:val="30"/>
          <w:szCs w:val="30"/>
        </w:rPr>
        <w:t>年初对机关运行专项经费以及全年需开展的重大项目列入预算，将项目纳入预算绩效管理。</w:t>
      </w:r>
    </w:p>
    <w:p w:rsidR="00947B86" w:rsidRDefault="00000000">
      <w:pPr>
        <w:numPr>
          <w:ilvl w:val="0"/>
          <w:numId w:val="4"/>
        </w:numPr>
        <w:ind w:firstLineChars="200" w:firstLine="600"/>
        <w:rPr>
          <w:rFonts w:ascii="仿宋" w:eastAsia="仿宋" w:hAnsi="仿宋" w:cs="仿宋"/>
          <w:sz w:val="30"/>
          <w:szCs w:val="30"/>
        </w:rPr>
      </w:pPr>
      <w:r>
        <w:rPr>
          <w:rFonts w:ascii="仿宋" w:eastAsia="仿宋" w:hAnsi="仿宋" w:cs="仿宋" w:hint="eastAsia"/>
          <w:sz w:val="30"/>
          <w:szCs w:val="30"/>
        </w:rPr>
        <w:t>开展了重大项目事前绩效评估，对我局200万元以上重</w:t>
      </w:r>
      <w:r>
        <w:rPr>
          <w:rFonts w:ascii="仿宋" w:eastAsia="仿宋" w:hAnsi="仿宋" w:cs="仿宋" w:hint="eastAsia"/>
          <w:sz w:val="30"/>
          <w:szCs w:val="30"/>
        </w:rPr>
        <w:lastRenderedPageBreak/>
        <w:t>大项目进行事前绩效评估，确保时时分析决策。</w:t>
      </w:r>
    </w:p>
    <w:p w:rsidR="00947B86" w:rsidRDefault="00000000">
      <w:pPr>
        <w:numPr>
          <w:ilvl w:val="0"/>
          <w:numId w:val="4"/>
        </w:numPr>
        <w:ind w:firstLineChars="200" w:firstLine="600"/>
        <w:rPr>
          <w:rFonts w:ascii="仿宋" w:eastAsia="仿宋" w:hAnsi="仿宋" w:cs="仿宋"/>
          <w:sz w:val="30"/>
          <w:szCs w:val="30"/>
        </w:rPr>
      </w:pPr>
      <w:r>
        <w:rPr>
          <w:rFonts w:ascii="仿宋" w:eastAsia="仿宋" w:hAnsi="仿宋" w:cs="仿宋" w:hint="eastAsia"/>
          <w:sz w:val="30"/>
          <w:szCs w:val="30"/>
        </w:rPr>
        <w:t>开展了部门整体支出以及项目支出绩效目标申报及评价工作，加强了对年初预算对整体支出和项目支出的分析和决策。</w:t>
      </w:r>
    </w:p>
    <w:p w:rsidR="00947B86" w:rsidRDefault="00000000">
      <w:pPr>
        <w:numPr>
          <w:ilvl w:val="0"/>
          <w:numId w:val="4"/>
        </w:numPr>
        <w:ind w:firstLineChars="200" w:firstLine="600"/>
        <w:rPr>
          <w:rFonts w:ascii="仿宋" w:eastAsia="仿宋" w:hAnsi="仿宋" w:cs="仿宋"/>
          <w:sz w:val="30"/>
          <w:szCs w:val="30"/>
        </w:rPr>
      </w:pPr>
      <w:r>
        <w:rPr>
          <w:rFonts w:ascii="仿宋" w:eastAsia="仿宋" w:hAnsi="仿宋" w:cs="仿宋" w:hint="eastAsia"/>
          <w:sz w:val="30"/>
          <w:szCs w:val="30"/>
        </w:rPr>
        <w:t>开展了财政重点评价工作，</w:t>
      </w:r>
      <w:r>
        <w:rPr>
          <w:rFonts w:ascii="仿宋" w:eastAsia="仿宋" w:hAnsi="仿宋" w:hint="eastAsia"/>
          <w:sz w:val="30"/>
          <w:szCs w:val="30"/>
        </w:rPr>
        <w:t>财政局同县第三方机构（赣州恒诚联合会计事务所）对信丰县迎宾大道综合改造PPP项目（政府和社会资本合作PPP项目）情况开展第三方重点绩效评价工作，</w:t>
      </w:r>
      <w:r>
        <w:rPr>
          <w:rFonts w:ascii="仿宋" w:eastAsia="仿宋" w:hAnsi="仿宋" w:cs="仿宋" w:hint="eastAsia"/>
          <w:sz w:val="30"/>
          <w:szCs w:val="30"/>
        </w:rPr>
        <w:t>针对考核中发现的问题我局积极查明原因予以整改。</w:t>
      </w:r>
    </w:p>
    <w:p w:rsidR="00947B86" w:rsidRDefault="00000000">
      <w:pPr>
        <w:rPr>
          <w:rFonts w:ascii="仿宋" w:eastAsia="仿宋" w:hAnsi="仿宋" w:cs="仿宋"/>
          <w:sz w:val="30"/>
          <w:szCs w:val="30"/>
        </w:rPr>
      </w:pPr>
      <w:r>
        <w:rPr>
          <w:rFonts w:ascii="仿宋" w:eastAsia="仿宋" w:hAnsi="仿宋" w:cs="仿宋" w:hint="eastAsia"/>
          <w:sz w:val="30"/>
          <w:szCs w:val="30"/>
        </w:rPr>
        <w:t xml:space="preserve">   2021年是在预算绩效管理全面实施的不断学习探索中，既有收获也有不足，今后将会把绩效管理工作完成的更好。</w:t>
      </w:r>
    </w:p>
    <w:p w:rsidR="00947B86" w:rsidRDefault="00000000">
      <w:pPr>
        <w:ind w:firstLineChars="200" w:firstLine="602"/>
        <w:rPr>
          <w:rFonts w:ascii="仿宋" w:eastAsia="仿宋" w:hAnsi="仿宋" w:cs="仿宋"/>
          <w:b/>
          <w:bCs/>
          <w:sz w:val="30"/>
          <w:szCs w:val="30"/>
        </w:rPr>
      </w:pPr>
      <w:r>
        <w:rPr>
          <w:rFonts w:ascii="仿宋" w:eastAsia="仿宋" w:hAnsi="仿宋" w:cs="仿宋" w:hint="eastAsia"/>
          <w:b/>
          <w:bCs/>
          <w:sz w:val="30"/>
          <w:szCs w:val="30"/>
        </w:rPr>
        <w:t>（五）当年部门预算及执行情况。</w:t>
      </w:r>
    </w:p>
    <w:p w:rsidR="00947B86" w:rsidRDefault="00000000">
      <w:pPr>
        <w:pStyle w:val="Bodytext1"/>
        <w:spacing w:line="616" w:lineRule="exact"/>
        <w:rPr>
          <w:rFonts w:ascii="仿宋" w:eastAsia="仿宋" w:hAnsi="仿宋" w:cs="仿宋"/>
          <w:sz w:val="30"/>
          <w:szCs w:val="30"/>
        </w:rPr>
      </w:pPr>
      <w:r>
        <w:rPr>
          <w:rFonts w:ascii="仿宋" w:eastAsia="仿宋" w:hAnsi="仿宋" w:cs="仿宋" w:hint="eastAsia"/>
          <w:color w:val="000000"/>
          <w:sz w:val="30"/>
          <w:szCs w:val="30"/>
        </w:rPr>
        <w:t>县财政局年初批复信丰县住房和城乡建设局20</w:t>
      </w:r>
      <w:r>
        <w:rPr>
          <w:rFonts w:ascii="仿宋" w:eastAsia="仿宋" w:hAnsi="仿宋" w:cs="仿宋" w:hint="eastAsia"/>
          <w:color w:val="000000"/>
          <w:sz w:val="30"/>
          <w:szCs w:val="30"/>
          <w:lang w:val="en-US" w:eastAsia="zh-CN"/>
        </w:rPr>
        <w:t>21</w:t>
      </w:r>
      <w:r>
        <w:rPr>
          <w:rFonts w:ascii="仿宋" w:eastAsia="仿宋" w:hAnsi="仿宋" w:cs="仿宋" w:hint="eastAsia"/>
          <w:color w:val="000000"/>
          <w:sz w:val="30"/>
          <w:szCs w:val="30"/>
        </w:rPr>
        <w:t>年度部门预算</w:t>
      </w:r>
      <w:r>
        <w:rPr>
          <w:rFonts w:ascii="仿宋" w:eastAsia="仿宋" w:hAnsi="仿宋" w:cs="仿宋" w:hint="eastAsia"/>
          <w:color w:val="000000"/>
          <w:sz w:val="30"/>
          <w:szCs w:val="30"/>
          <w:lang w:val="en-US" w:eastAsia="zh-CN" w:bidi="en-US"/>
        </w:rPr>
        <w:t>58970.87</w:t>
      </w:r>
      <w:r>
        <w:rPr>
          <w:rFonts w:ascii="仿宋" w:eastAsia="仿宋" w:hAnsi="仿宋" w:cs="仿宋" w:hint="eastAsia"/>
          <w:color w:val="000000"/>
          <w:sz w:val="30"/>
          <w:szCs w:val="30"/>
        </w:rPr>
        <w:t>万元。当年实际完成收入</w:t>
      </w:r>
      <w:r>
        <w:rPr>
          <w:rFonts w:ascii="仿宋" w:eastAsia="仿宋" w:hAnsi="仿宋" w:cs="仿宋" w:hint="eastAsia"/>
          <w:color w:val="000000"/>
          <w:sz w:val="30"/>
          <w:szCs w:val="30"/>
          <w:lang w:val="en-US" w:eastAsia="zh-CN" w:bidi="en-US"/>
        </w:rPr>
        <w:t>51214.73</w:t>
      </w:r>
      <w:r>
        <w:rPr>
          <w:rFonts w:ascii="仿宋" w:eastAsia="仿宋" w:hAnsi="仿宋" w:cs="仿宋" w:hint="eastAsia"/>
          <w:color w:val="000000"/>
          <w:sz w:val="30"/>
          <w:szCs w:val="30"/>
        </w:rPr>
        <w:t>万元</w:t>
      </w:r>
      <w:r>
        <w:rPr>
          <w:rFonts w:ascii="仿宋" w:eastAsia="仿宋" w:hAnsi="仿宋" w:cs="仿宋" w:hint="eastAsia"/>
          <w:color w:val="000000"/>
          <w:sz w:val="30"/>
          <w:szCs w:val="30"/>
          <w:lang w:eastAsia="zh-CN"/>
        </w:rPr>
        <w:t>，上年结转</w:t>
      </w:r>
      <w:r>
        <w:rPr>
          <w:rFonts w:ascii="仿宋" w:eastAsia="仿宋" w:hAnsi="仿宋" w:cs="仿宋" w:hint="eastAsia"/>
          <w:color w:val="000000"/>
          <w:sz w:val="30"/>
          <w:szCs w:val="30"/>
          <w:lang w:val="en-US" w:eastAsia="zh-CN"/>
        </w:rPr>
        <w:t>7756.14万元，</w:t>
      </w:r>
      <w:r>
        <w:rPr>
          <w:rFonts w:ascii="仿宋" w:eastAsia="仿宋" w:hAnsi="仿宋" w:cs="仿宋" w:hint="eastAsia"/>
          <w:color w:val="000000"/>
          <w:sz w:val="30"/>
          <w:szCs w:val="30"/>
        </w:rPr>
        <w:t>完成支出</w:t>
      </w:r>
      <w:r>
        <w:rPr>
          <w:rFonts w:ascii="仿宋" w:eastAsia="仿宋" w:hAnsi="仿宋" w:cs="仿宋" w:hint="eastAsia"/>
          <w:color w:val="000000"/>
          <w:sz w:val="30"/>
          <w:szCs w:val="30"/>
          <w:lang w:val="en-US" w:eastAsia="zh-CN" w:bidi="en-US"/>
        </w:rPr>
        <w:t>58970.87</w:t>
      </w:r>
      <w:r>
        <w:rPr>
          <w:rFonts w:ascii="仿宋" w:eastAsia="仿宋" w:hAnsi="仿宋" w:cs="仿宋" w:hint="eastAsia"/>
          <w:color w:val="000000"/>
          <w:sz w:val="30"/>
          <w:szCs w:val="30"/>
        </w:rPr>
        <w:t>万元，其中工资福利支出</w:t>
      </w:r>
      <w:r>
        <w:rPr>
          <w:rFonts w:ascii="仿宋" w:eastAsia="仿宋" w:hAnsi="仿宋" w:cs="仿宋" w:hint="eastAsia"/>
          <w:color w:val="000000"/>
          <w:sz w:val="30"/>
          <w:szCs w:val="30"/>
          <w:lang w:val="en-US" w:eastAsia="zh-CN" w:bidi="en-US"/>
        </w:rPr>
        <w:t>1364.7</w:t>
      </w:r>
      <w:r>
        <w:rPr>
          <w:rFonts w:ascii="仿宋" w:eastAsia="仿宋" w:hAnsi="仿宋" w:cs="仿宋" w:hint="eastAsia"/>
          <w:color w:val="000000"/>
          <w:sz w:val="30"/>
          <w:szCs w:val="30"/>
        </w:rPr>
        <w:t>万元、商品和服务支出</w:t>
      </w:r>
      <w:r>
        <w:rPr>
          <w:rFonts w:ascii="仿宋" w:eastAsia="仿宋" w:hAnsi="仿宋" w:cs="仿宋" w:hint="eastAsia"/>
          <w:color w:val="000000"/>
          <w:sz w:val="30"/>
          <w:szCs w:val="30"/>
          <w:lang w:val="en-US" w:eastAsia="zh-CN" w:bidi="en-US"/>
        </w:rPr>
        <w:t>742.61</w:t>
      </w:r>
      <w:r>
        <w:rPr>
          <w:rFonts w:ascii="仿宋" w:eastAsia="仿宋" w:hAnsi="仿宋" w:cs="仿宋" w:hint="eastAsia"/>
          <w:color w:val="000000"/>
          <w:sz w:val="30"/>
          <w:szCs w:val="30"/>
        </w:rPr>
        <w:t>万元、对个人和家庭的补助支出</w:t>
      </w:r>
      <w:r>
        <w:rPr>
          <w:rFonts w:ascii="仿宋" w:eastAsia="仿宋" w:hAnsi="仿宋" w:cs="仿宋" w:hint="eastAsia"/>
          <w:color w:val="000000"/>
          <w:sz w:val="30"/>
          <w:szCs w:val="30"/>
          <w:lang w:val="en-US" w:eastAsia="zh-CN" w:bidi="en-US"/>
        </w:rPr>
        <w:t>73.21</w:t>
      </w:r>
      <w:r>
        <w:rPr>
          <w:rFonts w:ascii="仿宋" w:eastAsia="仿宋" w:hAnsi="仿宋" w:cs="仿宋" w:hint="eastAsia"/>
          <w:color w:val="000000"/>
          <w:sz w:val="30"/>
          <w:szCs w:val="30"/>
        </w:rPr>
        <w:t>万元、资本性支出</w:t>
      </w:r>
      <w:r>
        <w:rPr>
          <w:rFonts w:ascii="仿宋" w:eastAsia="仿宋" w:hAnsi="仿宋" w:cs="仿宋" w:hint="eastAsia"/>
          <w:color w:val="000000"/>
          <w:sz w:val="30"/>
          <w:szCs w:val="30"/>
          <w:lang w:val="en-US" w:eastAsia="zh-CN" w:bidi="en-US"/>
        </w:rPr>
        <w:t>36219.86</w:t>
      </w:r>
      <w:r>
        <w:rPr>
          <w:rFonts w:ascii="仿宋" w:eastAsia="仿宋" w:hAnsi="仿宋" w:cs="仿宋" w:hint="eastAsia"/>
          <w:color w:val="000000"/>
          <w:sz w:val="30"/>
          <w:szCs w:val="30"/>
        </w:rPr>
        <w:t>万元，资本性支出（基本建设）</w:t>
      </w:r>
      <w:r>
        <w:rPr>
          <w:rFonts w:ascii="仿宋" w:eastAsia="仿宋" w:hAnsi="仿宋" w:cs="仿宋" w:hint="eastAsia"/>
          <w:color w:val="000000"/>
          <w:sz w:val="30"/>
          <w:szCs w:val="30"/>
          <w:lang w:val="en-US" w:eastAsia="zh-CN" w:bidi="en-US"/>
        </w:rPr>
        <w:t>20570.49</w:t>
      </w:r>
      <w:r>
        <w:rPr>
          <w:rFonts w:ascii="仿宋" w:eastAsia="仿宋" w:hAnsi="仿宋" w:cs="仿宋" w:hint="eastAsia"/>
          <w:color w:val="000000"/>
          <w:sz w:val="30"/>
          <w:szCs w:val="30"/>
        </w:rPr>
        <w:t>万元等；年底结余</w:t>
      </w:r>
      <w:r>
        <w:rPr>
          <w:rFonts w:ascii="仿宋" w:eastAsia="仿宋" w:hAnsi="仿宋" w:cs="仿宋" w:hint="eastAsia"/>
          <w:color w:val="000000"/>
          <w:sz w:val="30"/>
          <w:szCs w:val="30"/>
          <w:lang w:val="en-US" w:eastAsia="zh-CN" w:bidi="en-US"/>
        </w:rPr>
        <w:t>0</w:t>
      </w:r>
      <w:r>
        <w:rPr>
          <w:rFonts w:ascii="仿宋" w:eastAsia="仿宋" w:hAnsi="仿宋" w:cs="仿宋" w:hint="eastAsia"/>
          <w:color w:val="000000"/>
          <w:sz w:val="30"/>
          <w:szCs w:val="30"/>
        </w:rPr>
        <w:t>万元。部门预算支出与执行结果的差异总额为</w:t>
      </w:r>
      <w:r>
        <w:rPr>
          <w:rFonts w:ascii="仿宋" w:eastAsia="仿宋" w:hAnsi="仿宋" w:cs="仿宋" w:hint="eastAsia"/>
          <w:color w:val="000000"/>
          <w:sz w:val="30"/>
          <w:szCs w:val="30"/>
          <w:lang w:val="en-US" w:eastAsia="zh-CN" w:bidi="en-US"/>
        </w:rPr>
        <w:t>0</w:t>
      </w:r>
      <w:r>
        <w:rPr>
          <w:rFonts w:ascii="仿宋" w:eastAsia="仿宋" w:hAnsi="仿宋" w:cs="仿宋" w:hint="eastAsia"/>
          <w:color w:val="000000"/>
          <w:sz w:val="30"/>
          <w:szCs w:val="30"/>
        </w:rPr>
        <w:t>万元</w:t>
      </w:r>
      <w:r>
        <w:rPr>
          <w:rFonts w:ascii="仿宋" w:eastAsia="仿宋" w:hAnsi="仿宋" w:cs="仿宋" w:hint="eastAsia"/>
          <w:color w:val="000000"/>
          <w:sz w:val="30"/>
          <w:szCs w:val="30"/>
          <w:lang w:eastAsia="zh-CN"/>
        </w:rPr>
        <w:t>。</w:t>
      </w:r>
    </w:p>
    <w:p w:rsidR="00947B86" w:rsidRDefault="00000000">
      <w:pPr>
        <w:pStyle w:val="a0"/>
        <w:numPr>
          <w:ilvl w:val="0"/>
          <w:numId w:val="5"/>
        </w:numPr>
        <w:rPr>
          <w:rFonts w:ascii="仿宋" w:eastAsia="仿宋" w:hAnsi="仿宋" w:cs="仿宋"/>
          <w:b/>
          <w:bCs/>
          <w:sz w:val="30"/>
          <w:szCs w:val="30"/>
          <w:lang w:val="en-US"/>
        </w:rPr>
      </w:pPr>
      <w:r>
        <w:rPr>
          <w:rFonts w:ascii="仿宋" w:eastAsia="仿宋" w:hAnsi="仿宋" w:cs="仿宋" w:hint="eastAsia"/>
          <w:b/>
          <w:bCs/>
          <w:sz w:val="30"/>
          <w:szCs w:val="30"/>
          <w:lang w:val="en-US"/>
        </w:rPr>
        <w:t>部门整体支出绩效实现情况</w:t>
      </w:r>
    </w:p>
    <w:p w:rsidR="00947B86" w:rsidRDefault="00000000">
      <w:pPr>
        <w:numPr>
          <w:ilvl w:val="0"/>
          <w:numId w:val="6"/>
        </w:numPr>
        <w:rPr>
          <w:rFonts w:ascii="仿宋" w:eastAsia="仿宋" w:hAnsi="仿宋" w:cs="仿宋"/>
          <w:b/>
          <w:bCs/>
          <w:sz w:val="30"/>
          <w:szCs w:val="30"/>
          <w:lang w:bidi="zh-CN"/>
        </w:rPr>
      </w:pPr>
      <w:r>
        <w:rPr>
          <w:rFonts w:ascii="仿宋" w:eastAsia="仿宋" w:hAnsi="仿宋" w:cs="仿宋" w:hint="eastAsia"/>
          <w:b/>
          <w:bCs/>
          <w:sz w:val="30"/>
          <w:szCs w:val="30"/>
          <w:lang w:bidi="zh-CN"/>
        </w:rPr>
        <w:t>履职完成情况：从数量、质量、时效等方面归纳反映年度主要计划任务完成情况。</w:t>
      </w:r>
    </w:p>
    <w:p w:rsidR="00947B86" w:rsidRDefault="00000000">
      <w:pPr>
        <w:spacing w:line="500" w:lineRule="exact"/>
        <w:rPr>
          <w:rFonts w:ascii="仿宋" w:eastAsia="仿宋" w:hAnsi="仿宋" w:cs="仿宋"/>
          <w:sz w:val="30"/>
          <w:szCs w:val="30"/>
        </w:rPr>
      </w:pPr>
      <w:r>
        <w:rPr>
          <w:rFonts w:ascii="仿宋" w:eastAsia="仿宋" w:hAnsi="仿宋" w:cs="仿宋" w:hint="eastAsia"/>
          <w:sz w:val="30"/>
          <w:szCs w:val="30"/>
        </w:rPr>
        <w:t>(1)数量指标方面：落实</w:t>
      </w:r>
      <w:r>
        <w:rPr>
          <w:rFonts w:ascii="仿宋" w:eastAsia="仿宋" w:hAnsi="仿宋" w:cs="仿宋" w:hint="eastAsia"/>
          <w:kern w:val="0"/>
          <w:sz w:val="30"/>
          <w:szCs w:val="30"/>
        </w:rPr>
        <w:t>城市功能与品质提升成效显著、</w:t>
      </w:r>
      <w:r>
        <w:rPr>
          <w:rFonts w:ascii="仿宋" w:eastAsia="仿宋" w:hAnsi="仿宋" w:cs="仿宋" w:hint="eastAsia"/>
          <w:sz w:val="30"/>
          <w:szCs w:val="30"/>
        </w:rPr>
        <w:t>强力推新型城镇化重点项目数45个、精品打造示范乡镇建设4个、推</w:t>
      </w:r>
      <w:r>
        <w:rPr>
          <w:rFonts w:ascii="仿宋" w:eastAsia="仿宋" w:hAnsi="仿宋" w:cs="仿宋" w:hint="eastAsia"/>
          <w:sz w:val="30"/>
          <w:szCs w:val="30"/>
        </w:rPr>
        <w:lastRenderedPageBreak/>
        <w:t>动老旧小区改造108个、电梯加装8台等4个数量指标目标任务全面加快率我局办事效率及速度，完成指标要求。</w:t>
      </w:r>
    </w:p>
    <w:p w:rsidR="00947B86" w:rsidRDefault="00000000">
      <w:pPr>
        <w:pStyle w:val="a7"/>
        <w:spacing w:before="46" w:beforeAutospacing="0" w:afterAutospacing="0" w:line="450" w:lineRule="atLeast"/>
        <w:jc w:val="both"/>
        <w:rPr>
          <w:rFonts w:ascii="仿宋" w:eastAsia="仿宋" w:hAnsi="仿宋" w:cs="仿宋"/>
          <w:sz w:val="30"/>
          <w:szCs w:val="30"/>
        </w:rPr>
      </w:pPr>
      <w:r>
        <w:rPr>
          <w:rFonts w:ascii="仿宋" w:eastAsia="仿宋" w:hAnsi="仿宋" w:cs="仿宋" w:hint="eastAsia"/>
          <w:sz w:val="30"/>
          <w:szCs w:val="30"/>
        </w:rPr>
        <w:t>(2)质量指标方面：保障工资和单位正常运作，确保财政资金规范使用率100%，完成指标要求。</w:t>
      </w:r>
    </w:p>
    <w:p w:rsidR="00947B86" w:rsidRDefault="00000000">
      <w:pPr>
        <w:pStyle w:val="a7"/>
        <w:spacing w:before="46" w:beforeAutospacing="0" w:afterAutospacing="0" w:line="450" w:lineRule="atLeast"/>
        <w:jc w:val="both"/>
        <w:rPr>
          <w:rFonts w:ascii="仿宋" w:eastAsia="仿宋" w:hAnsi="仿宋" w:cs="仿宋"/>
          <w:sz w:val="30"/>
          <w:szCs w:val="30"/>
        </w:rPr>
      </w:pPr>
      <w:r>
        <w:rPr>
          <w:rFonts w:ascii="仿宋" w:eastAsia="仿宋" w:hAnsi="仿宋" w:cs="仿宋" w:hint="eastAsia"/>
          <w:sz w:val="30"/>
          <w:szCs w:val="30"/>
        </w:rPr>
        <w:t>(3)时效指标方面：严格按照项目时效及进度拨付资金监管率≥95%，完成指标要求；信访回复及时率为即时，完成指标要求。（4）成本指标方面：预算控制数数51214.73万元，完成指标要求</w:t>
      </w:r>
    </w:p>
    <w:p w:rsidR="00947B86" w:rsidRDefault="00000000">
      <w:pPr>
        <w:pStyle w:val="a7"/>
        <w:spacing w:before="46" w:beforeAutospacing="0" w:afterAutospacing="0" w:line="450" w:lineRule="atLeast"/>
        <w:jc w:val="both"/>
        <w:rPr>
          <w:rFonts w:ascii="仿宋" w:eastAsia="仿宋" w:hAnsi="仿宋" w:cs="仿宋"/>
          <w:b/>
          <w:bCs/>
          <w:sz w:val="30"/>
          <w:szCs w:val="30"/>
        </w:rPr>
      </w:pPr>
      <w:r>
        <w:rPr>
          <w:rFonts w:ascii="仿宋" w:eastAsia="仿宋" w:hAnsi="仿宋" w:cs="仿宋" w:hint="eastAsia"/>
          <w:b/>
          <w:bCs/>
          <w:sz w:val="30"/>
          <w:szCs w:val="30"/>
        </w:rPr>
        <w:t>（二）履职效果情况：从社会效益、经济效益（如有）、生态效益（如有）等方面反映部门履职效果的实现情况。</w:t>
      </w:r>
    </w:p>
    <w:p w:rsidR="00947B86" w:rsidRDefault="00000000">
      <w:pPr>
        <w:pStyle w:val="a7"/>
        <w:spacing w:before="46" w:beforeAutospacing="0" w:afterAutospacing="0" w:line="450" w:lineRule="atLeast"/>
        <w:jc w:val="both"/>
        <w:rPr>
          <w:rFonts w:ascii="仿宋" w:eastAsia="仿宋" w:hAnsi="仿宋" w:cs="仿宋"/>
          <w:sz w:val="30"/>
          <w:szCs w:val="30"/>
        </w:rPr>
      </w:pPr>
      <w:r>
        <w:rPr>
          <w:rFonts w:ascii="仿宋" w:eastAsia="仿宋" w:hAnsi="仿宋" w:cs="仿宋" w:hint="eastAsia"/>
          <w:sz w:val="30"/>
          <w:szCs w:val="30"/>
        </w:rPr>
        <w:t>（1）社会效益指标方面：房地产市场平稳健康发展。认真贯彻落实“房子是用来住的，不是用来炒的”定位要求，抓好房地产市场调控，重点监测商品住宅价格、销售量的变化情况以及住宅与非住宅商品房库存情况，房地产市场全年平稳健康发展。</w:t>
      </w:r>
    </w:p>
    <w:p w:rsidR="00947B86" w:rsidRDefault="00000000">
      <w:pPr>
        <w:pStyle w:val="a0"/>
        <w:ind w:leftChars="0" w:left="0"/>
        <w:rPr>
          <w:rFonts w:ascii="仿宋" w:eastAsia="仿宋" w:hAnsi="仿宋" w:cs="仿宋"/>
          <w:kern w:val="0"/>
          <w:sz w:val="30"/>
          <w:szCs w:val="30"/>
          <w:lang w:val="en-US" w:bidi="ar-SA"/>
        </w:rPr>
      </w:pPr>
      <w:r>
        <w:rPr>
          <w:rFonts w:ascii="仿宋" w:eastAsia="仿宋" w:hAnsi="仿宋" w:cs="仿宋" w:hint="eastAsia"/>
          <w:kern w:val="0"/>
          <w:sz w:val="30"/>
          <w:szCs w:val="30"/>
          <w:lang w:val="en-US" w:bidi="ar-SA"/>
        </w:rPr>
        <w:t>（2）经济效益方面：围绕决战“1217”工作部署，按照“决战城市崛起，筑强融湾引擎”工作要求，扎实推进建筑行业，提升经济活性。</w:t>
      </w:r>
    </w:p>
    <w:p w:rsidR="00947B86" w:rsidRDefault="00000000">
      <w:pPr>
        <w:rPr>
          <w:rFonts w:ascii="仿宋" w:eastAsia="仿宋" w:hAnsi="仿宋" w:cs="仿宋"/>
          <w:kern w:val="0"/>
          <w:sz w:val="30"/>
          <w:szCs w:val="30"/>
        </w:rPr>
      </w:pPr>
      <w:r>
        <w:rPr>
          <w:rFonts w:ascii="仿宋" w:eastAsia="仿宋" w:hAnsi="仿宋" w:cs="仿宋" w:hint="eastAsia"/>
          <w:kern w:val="0"/>
          <w:sz w:val="30"/>
          <w:szCs w:val="30"/>
        </w:rPr>
        <w:t>（3）生态效益方面：扎实推进了各项目现场扬尘治理工作，确保全覆盖监管。</w:t>
      </w:r>
    </w:p>
    <w:p w:rsidR="00947B86" w:rsidRDefault="00000000">
      <w:pPr>
        <w:pStyle w:val="aa"/>
        <w:widowControl/>
        <w:spacing w:line="560" w:lineRule="exact"/>
        <w:ind w:firstLine="600"/>
        <w:jc w:val="left"/>
        <w:textAlignment w:val="center"/>
        <w:rPr>
          <w:rFonts w:ascii="仿宋" w:eastAsia="仿宋" w:hAnsi="仿宋" w:cs="仿宋"/>
          <w:kern w:val="0"/>
          <w:sz w:val="30"/>
          <w:szCs w:val="30"/>
        </w:rPr>
      </w:pPr>
      <w:r>
        <w:rPr>
          <w:rFonts w:ascii="仿宋" w:eastAsia="仿宋" w:hAnsi="仿宋" w:cs="仿宋" w:hint="eastAsia"/>
          <w:kern w:val="0"/>
          <w:sz w:val="30"/>
          <w:szCs w:val="30"/>
        </w:rPr>
        <w:t>（4）可持续效益方面：项目安全监管覆盖率为100%全覆盖。对全县96个 527.77万平方米的在建工地开展了建筑施工安全专项整治三年行动和扬尘治理现场推进会，建立动态隐患排查销</w:t>
      </w:r>
      <w:r>
        <w:rPr>
          <w:rFonts w:ascii="仿宋" w:eastAsia="仿宋" w:hAnsi="仿宋" w:cs="仿宋" w:hint="eastAsia"/>
          <w:kern w:val="0"/>
          <w:sz w:val="30"/>
          <w:szCs w:val="30"/>
        </w:rPr>
        <w:lastRenderedPageBreak/>
        <w:t>号台账，形成闭环管理，累计下发335份各类安全隐患通知书，并对各类违法违规项目进行处罚，共处罚项目51个，罚款金额达176.24万元，切实减少安全隐患。</w:t>
      </w:r>
    </w:p>
    <w:p w:rsidR="00947B86" w:rsidRDefault="00000000">
      <w:pPr>
        <w:pStyle w:val="a7"/>
        <w:spacing w:before="46" w:beforeAutospacing="0" w:afterAutospacing="0" w:line="450" w:lineRule="atLeast"/>
        <w:jc w:val="both"/>
        <w:rPr>
          <w:rFonts w:ascii="仿宋" w:eastAsia="仿宋" w:hAnsi="仿宋" w:cs="仿宋"/>
          <w:b/>
          <w:bCs/>
          <w:sz w:val="30"/>
          <w:szCs w:val="30"/>
        </w:rPr>
      </w:pPr>
      <w:r>
        <w:rPr>
          <w:rFonts w:ascii="仿宋" w:eastAsia="仿宋" w:hAnsi="仿宋" w:cs="仿宋" w:hint="eastAsia"/>
          <w:b/>
          <w:bCs/>
          <w:sz w:val="30"/>
          <w:szCs w:val="30"/>
        </w:rPr>
        <w:t>（三）社会满意度及可持续性影响</w:t>
      </w:r>
    </w:p>
    <w:p w:rsidR="00947B86" w:rsidRDefault="00000000">
      <w:pPr>
        <w:pStyle w:val="a7"/>
        <w:spacing w:before="46" w:beforeAutospacing="0" w:afterAutospacing="0" w:line="450" w:lineRule="atLeast"/>
        <w:ind w:firstLineChars="200" w:firstLine="600"/>
        <w:jc w:val="both"/>
        <w:rPr>
          <w:rFonts w:ascii="仿宋" w:eastAsia="仿宋" w:hAnsi="仿宋" w:cs="仿宋"/>
          <w:sz w:val="30"/>
          <w:szCs w:val="30"/>
        </w:rPr>
      </w:pPr>
      <w:r>
        <w:rPr>
          <w:rFonts w:ascii="仿宋" w:eastAsia="仿宋" w:hAnsi="仿宋" w:cs="仿宋" w:hint="eastAsia"/>
          <w:kern w:val="2"/>
          <w:sz w:val="30"/>
          <w:szCs w:val="30"/>
          <w:lang w:val="zh-CN" w:bidi="zh-CN"/>
        </w:rPr>
        <w:t>服务对象满意度95%以上。</w:t>
      </w:r>
    </w:p>
    <w:p w:rsidR="00947B86" w:rsidRDefault="00000000">
      <w:pPr>
        <w:rPr>
          <w:rFonts w:ascii="仿宋" w:eastAsia="仿宋" w:hAnsi="仿宋" w:cs="仿宋"/>
          <w:b/>
          <w:bCs/>
          <w:kern w:val="0"/>
          <w:sz w:val="30"/>
          <w:szCs w:val="30"/>
        </w:rPr>
      </w:pPr>
      <w:r>
        <w:rPr>
          <w:rFonts w:ascii="仿宋" w:eastAsia="仿宋" w:hAnsi="仿宋" w:cs="仿宋" w:hint="eastAsia"/>
          <w:b/>
          <w:bCs/>
          <w:kern w:val="0"/>
          <w:sz w:val="30"/>
          <w:szCs w:val="30"/>
        </w:rPr>
        <w:t>三、部门整体支出绩效中存在问题及改进措施</w:t>
      </w:r>
    </w:p>
    <w:p w:rsidR="00947B86" w:rsidRDefault="00000000">
      <w:pPr>
        <w:pStyle w:val="Bodytext1"/>
        <w:tabs>
          <w:tab w:val="left" w:pos="1622"/>
        </w:tabs>
        <w:spacing w:line="557" w:lineRule="exact"/>
        <w:ind w:firstLineChars="100" w:firstLine="300"/>
        <w:rPr>
          <w:rFonts w:ascii="仿宋" w:eastAsia="仿宋" w:hAnsi="仿宋" w:cs="仿宋"/>
          <w:color w:val="000000"/>
          <w:sz w:val="30"/>
          <w:szCs w:val="30"/>
          <w:lang w:eastAsia="zh-CN"/>
        </w:rPr>
      </w:pPr>
      <w:r>
        <w:rPr>
          <w:rFonts w:ascii="仿宋" w:eastAsia="仿宋" w:hAnsi="仿宋" w:cs="仿宋" w:hint="eastAsia"/>
          <w:color w:val="000000"/>
          <w:sz w:val="30"/>
          <w:szCs w:val="30"/>
          <w:lang w:eastAsia="zh-CN"/>
        </w:rPr>
        <w:t>（一）主要问题及原因分析</w:t>
      </w:r>
    </w:p>
    <w:p w:rsidR="00947B86" w:rsidRDefault="00000000">
      <w:pPr>
        <w:pStyle w:val="a0"/>
        <w:spacing w:line="560" w:lineRule="exact"/>
        <w:ind w:leftChars="0" w:left="0" w:firstLineChars="200" w:firstLine="640"/>
        <w:textAlignment w:val="baseline"/>
        <w:rPr>
          <w:rFonts w:ascii="仿宋_GB2312" w:eastAsia="仿宋_GB2312" w:hAnsi="仿宋_GB2312" w:cs="仿宋_GB2312"/>
          <w:szCs w:val="32"/>
        </w:rPr>
      </w:pPr>
      <w:r>
        <w:rPr>
          <w:rFonts w:ascii="楷体" w:eastAsia="楷体" w:hAnsi="楷体" w:cs="黑体" w:hint="eastAsia"/>
          <w:szCs w:val="32"/>
        </w:rPr>
        <w:t>（</w:t>
      </w:r>
      <w:r>
        <w:rPr>
          <w:rFonts w:ascii="楷体" w:eastAsia="楷体" w:hAnsi="楷体" w:cs="黑体" w:hint="eastAsia"/>
          <w:szCs w:val="32"/>
          <w:lang w:val="en-US"/>
        </w:rPr>
        <w:t>1</w:t>
      </w:r>
      <w:r>
        <w:rPr>
          <w:rFonts w:ascii="楷体" w:eastAsia="楷体" w:hAnsi="楷体" w:cs="黑体" w:hint="eastAsia"/>
          <w:szCs w:val="32"/>
        </w:rPr>
        <w:t>）服务对象满意度未达</w:t>
      </w:r>
      <w:r>
        <w:rPr>
          <w:rFonts w:ascii="楷体" w:eastAsia="楷体" w:hAnsi="楷体" w:cs="黑体" w:hint="eastAsia"/>
          <w:szCs w:val="32"/>
          <w:lang w:val="en-US"/>
        </w:rPr>
        <w:t>100%，</w:t>
      </w:r>
      <w:r>
        <w:rPr>
          <w:rFonts w:ascii="仿宋_GB2312" w:eastAsia="仿宋_GB2312" w:hAnsi="仿宋_GB2312" w:cs="仿宋_GB2312" w:hint="eastAsia"/>
          <w:szCs w:val="32"/>
        </w:rPr>
        <w:t>部分重点项目涉及与铁路、高速等部门沟通困难，在项目建设中，涉及京九光缆、高铁、京九铁路和高速公路等相关手续较多,协调时间较长。</w:t>
      </w:r>
    </w:p>
    <w:p w:rsidR="00947B86" w:rsidRDefault="00000000">
      <w:pPr>
        <w:pStyle w:val="a0"/>
        <w:spacing w:line="560" w:lineRule="exact"/>
        <w:ind w:leftChars="0" w:left="0" w:firstLineChars="200" w:firstLine="640"/>
        <w:textAlignment w:val="baseline"/>
        <w:rPr>
          <w:rFonts w:ascii="仿宋" w:eastAsia="仿宋" w:hAnsi="仿宋" w:cs="仿宋"/>
          <w:szCs w:val="32"/>
        </w:rPr>
      </w:pPr>
      <w:r>
        <w:rPr>
          <w:rFonts w:ascii="楷体" w:eastAsia="楷体" w:hAnsi="楷体" w:cs="黑体" w:hint="eastAsia"/>
          <w:szCs w:val="32"/>
        </w:rPr>
        <w:t>（</w:t>
      </w:r>
      <w:r>
        <w:rPr>
          <w:rFonts w:ascii="楷体" w:eastAsia="楷体" w:hAnsi="楷体" w:cs="黑体" w:hint="eastAsia"/>
          <w:szCs w:val="32"/>
          <w:lang w:val="en-US"/>
        </w:rPr>
        <w:t>2</w:t>
      </w:r>
      <w:r>
        <w:rPr>
          <w:rFonts w:ascii="楷体" w:eastAsia="楷体" w:hAnsi="楷体" w:cs="黑体" w:hint="eastAsia"/>
          <w:szCs w:val="32"/>
        </w:rPr>
        <w:t>）资金缺少，圩镇建设项目资金来源较少。</w:t>
      </w:r>
      <w:r>
        <w:rPr>
          <w:rFonts w:ascii="仿宋" w:eastAsia="仿宋" w:hAnsi="仿宋" w:cs="仿宋" w:hint="eastAsia"/>
          <w:szCs w:val="32"/>
        </w:rPr>
        <w:t>一是乡镇建设政策支持上资金来源不明确，特别是第三批示范镇建设得到上级资金支持较少。二是乡镇在拓宽项目建设资金来源渠道上方法不多。</w:t>
      </w:r>
    </w:p>
    <w:p w:rsidR="00947B86" w:rsidRDefault="00000000">
      <w:pPr>
        <w:pStyle w:val="Bodytext1"/>
        <w:tabs>
          <w:tab w:val="left" w:pos="1622"/>
        </w:tabs>
        <w:spacing w:line="557" w:lineRule="exact"/>
        <w:ind w:firstLine="0"/>
        <w:rPr>
          <w:rFonts w:ascii="仿宋" w:eastAsia="仿宋" w:hAnsi="仿宋" w:cs="仿宋"/>
          <w:color w:val="000000"/>
          <w:sz w:val="30"/>
          <w:szCs w:val="30"/>
          <w:lang w:eastAsia="zh-CN"/>
        </w:rPr>
      </w:pPr>
      <w:r>
        <w:rPr>
          <w:rFonts w:ascii="仿宋" w:eastAsia="仿宋" w:hAnsi="仿宋" w:cs="仿宋" w:hint="eastAsia"/>
          <w:color w:val="000000"/>
          <w:sz w:val="30"/>
          <w:szCs w:val="30"/>
          <w:lang w:eastAsia="zh-CN"/>
        </w:rPr>
        <w:t>（二）改进的方向和具体措施</w:t>
      </w:r>
    </w:p>
    <w:p w:rsidR="00947B86" w:rsidRDefault="00000000">
      <w:pPr>
        <w:pStyle w:val="Bodytext1"/>
        <w:tabs>
          <w:tab w:val="left" w:pos="1622"/>
        </w:tabs>
        <w:spacing w:line="557" w:lineRule="exact"/>
        <w:ind w:firstLineChars="100" w:firstLine="300"/>
        <w:rPr>
          <w:rFonts w:ascii="仿宋" w:eastAsia="仿宋" w:hAnsi="仿宋" w:cs="仿宋"/>
          <w:color w:val="000000"/>
          <w:sz w:val="30"/>
          <w:szCs w:val="30"/>
          <w:lang w:val="en-US" w:eastAsia="zh-CN"/>
        </w:rPr>
      </w:pPr>
      <w:r>
        <w:rPr>
          <w:rFonts w:ascii="仿宋" w:eastAsia="仿宋" w:hAnsi="仿宋" w:cs="仿宋" w:hint="eastAsia"/>
          <w:color w:val="000000"/>
          <w:sz w:val="30"/>
          <w:szCs w:val="30"/>
          <w:lang w:eastAsia="zh-CN"/>
        </w:rPr>
        <w:t>加强制度建设，形成有章可循，加强沟通作用，提高专业化管理，多向促进部门协作。</w:t>
      </w:r>
    </w:p>
    <w:p w:rsidR="00947B86" w:rsidRDefault="00000000">
      <w:pPr>
        <w:rPr>
          <w:rFonts w:ascii="仿宋" w:eastAsia="仿宋" w:hAnsi="仿宋" w:cs="仿宋"/>
          <w:b/>
          <w:bCs/>
          <w:kern w:val="0"/>
          <w:sz w:val="30"/>
          <w:szCs w:val="30"/>
        </w:rPr>
      </w:pPr>
      <w:r>
        <w:rPr>
          <w:rFonts w:ascii="仿宋" w:eastAsia="仿宋" w:hAnsi="仿宋" w:cs="仿宋" w:hint="eastAsia"/>
          <w:b/>
          <w:bCs/>
          <w:kern w:val="0"/>
          <w:sz w:val="30"/>
          <w:szCs w:val="30"/>
        </w:rPr>
        <w:t>四、绩效自评结果拟应用和公开情况</w:t>
      </w:r>
    </w:p>
    <w:p w:rsidR="00947B86" w:rsidRDefault="00000000">
      <w:pPr>
        <w:pStyle w:val="a7"/>
        <w:spacing w:before="46" w:beforeAutospacing="0" w:afterAutospacing="0" w:line="450" w:lineRule="atLeast"/>
        <w:jc w:val="both"/>
        <w:rPr>
          <w:rFonts w:cs="宋体"/>
          <w:sz w:val="30"/>
          <w:szCs w:val="30"/>
        </w:rPr>
      </w:pPr>
      <w:r>
        <w:rPr>
          <w:rFonts w:ascii="仿宋" w:eastAsia="仿宋" w:hAnsi="仿宋" w:cs="仿宋" w:hint="eastAsia"/>
          <w:sz w:val="30"/>
          <w:szCs w:val="30"/>
        </w:rPr>
        <w:t xml:space="preserve">　绩效自评结果在信丰县人民政府官网政务公开信丰县住房和城乡建设局板块进行公开。</w:t>
      </w:r>
    </w:p>
    <w:p w:rsidR="00947B86" w:rsidRDefault="00947B86">
      <w:pPr>
        <w:pStyle w:val="a0"/>
        <w:rPr>
          <w:lang w:val="en-US"/>
        </w:rPr>
      </w:pPr>
    </w:p>
    <w:sectPr w:rsidR="00947B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41899" w:rsidRDefault="00741899" w:rsidP="005C4272">
      <w:r>
        <w:separator/>
      </w:r>
    </w:p>
  </w:endnote>
  <w:endnote w:type="continuationSeparator" w:id="0">
    <w:p w:rsidR="00741899" w:rsidRDefault="00741899" w:rsidP="005C4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41899" w:rsidRDefault="00741899" w:rsidP="005C4272">
      <w:r>
        <w:separator/>
      </w:r>
    </w:p>
  </w:footnote>
  <w:footnote w:type="continuationSeparator" w:id="0">
    <w:p w:rsidR="00741899" w:rsidRDefault="00741899" w:rsidP="005C4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031CF1E"/>
    <w:multiLevelType w:val="singleLevel"/>
    <w:tmpl w:val="E031CF1E"/>
    <w:lvl w:ilvl="0">
      <w:start w:val="2"/>
      <w:numFmt w:val="chineseCounting"/>
      <w:suff w:val="nothing"/>
      <w:lvlText w:val="%1、"/>
      <w:lvlJc w:val="left"/>
      <w:rPr>
        <w:rFonts w:hint="eastAsia"/>
      </w:rPr>
    </w:lvl>
  </w:abstractNum>
  <w:abstractNum w:abstractNumId="1" w15:restartNumberingAfterBreak="0">
    <w:nsid w:val="0248C179"/>
    <w:multiLevelType w:val="singleLevel"/>
    <w:tmpl w:val="0248C179"/>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30"/>
        <w:szCs w:val="30"/>
        <w:u w:val="none"/>
        <w:shd w:val="clear" w:color="auto" w:fill="auto"/>
        <w:lang w:val="en-US" w:eastAsia="en-US" w:bidi="en-US"/>
      </w:rPr>
    </w:lvl>
  </w:abstractNum>
  <w:abstractNum w:abstractNumId="2" w15:restartNumberingAfterBreak="0">
    <w:nsid w:val="02A7DF40"/>
    <w:multiLevelType w:val="singleLevel"/>
    <w:tmpl w:val="02A7DF40"/>
    <w:lvl w:ilvl="0">
      <w:start w:val="1"/>
      <w:numFmt w:val="chineseCounting"/>
      <w:suff w:val="nothing"/>
      <w:lvlText w:val="（%1）"/>
      <w:lvlJc w:val="left"/>
      <w:rPr>
        <w:rFonts w:hint="eastAsia"/>
      </w:rPr>
    </w:lvl>
  </w:abstractNum>
  <w:abstractNum w:abstractNumId="3" w15:restartNumberingAfterBreak="0">
    <w:nsid w:val="03D62ECE"/>
    <w:multiLevelType w:val="singleLevel"/>
    <w:tmpl w:val="03D62ECE"/>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30"/>
        <w:szCs w:val="30"/>
        <w:u w:val="none"/>
        <w:shd w:val="clear" w:color="auto" w:fill="auto"/>
        <w:lang w:val="zh-TW" w:eastAsia="zh-TW" w:bidi="zh-TW"/>
      </w:rPr>
    </w:lvl>
  </w:abstractNum>
  <w:abstractNum w:abstractNumId="4" w15:restartNumberingAfterBreak="0">
    <w:nsid w:val="3D8EFFAA"/>
    <w:multiLevelType w:val="singleLevel"/>
    <w:tmpl w:val="3D8EFFAA"/>
    <w:lvl w:ilvl="0">
      <w:start w:val="2"/>
      <w:numFmt w:val="chineseCounting"/>
      <w:suff w:val="nothing"/>
      <w:lvlText w:val="（%1）"/>
      <w:lvlJc w:val="left"/>
      <w:rPr>
        <w:rFonts w:hint="eastAsia"/>
      </w:rPr>
    </w:lvl>
  </w:abstractNum>
  <w:abstractNum w:abstractNumId="5" w15:restartNumberingAfterBreak="0">
    <w:nsid w:val="5CEC26B3"/>
    <w:multiLevelType w:val="singleLevel"/>
    <w:tmpl w:val="5CEC26B3"/>
    <w:lvl w:ilvl="0">
      <w:start w:val="1"/>
      <w:numFmt w:val="decimal"/>
      <w:suff w:val="nothing"/>
      <w:lvlText w:val="%1、"/>
      <w:lvlJc w:val="left"/>
    </w:lvl>
  </w:abstractNum>
  <w:num w:numId="1" w16cid:durableId="1837066765">
    <w:abstractNumId w:val="1"/>
  </w:num>
  <w:num w:numId="2" w16cid:durableId="2105029467">
    <w:abstractNumId w:val="4"/>
  </w:num>
  <w:num w:numId="3" w16cid:durableId="1794594819">
    <w:abstractNumId w:val="3"/>
  </w:num>
  <w:num w:numId="4" w16cid:durableId="1298798489">
    <w:abstractNumId w:val="5"/>
  </w:num>
  <w:num w:numId="5" w16cid:durableId="601306755">
    <w:abstractNumId w:val="0"/>
  </w:num>
  <w:num w:numId="6" w16cid:durableId="1524636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BjNGUyMmI4ZWUyZDM0OTUzODA0NDY2NGY4ZWFkZDEifQ=="/>
  </w:docVars>
  <w:rsids>
    <w:rsidRoot w:val="7A4E1844"/>
    <w:rsid w:val="005C4272"/>
    <w:rsid w:val="00741899"/>
    <w:rsid w:val="00947B86"/>
    <w:rsid w:val="030E2E84"/>
    <w:rsid w:val="03247659"/>
    <w:rsid w:val="03C87E63"/>
    <w:rsid w:val="074632CC"/>
    <w:rsid w:val="09E3201C"/>
    <w:rsid w:val="0ADC74DD"/>
    <w:rsid w:val="106B691D"/>
    <w:rsid w:val="112F66E5"/>
    <w:rsid w:val="27132091"/>
    <w:rsid w:val="2B634FAE"/>
    <w:rsid w:val="2EE144CD"/>
    <w:rsid w:val="2F01059F"/>
    <w:rsid w:val="3CE91268"/>
    <w:rsid w:val="40F26D3D"/>
    <w:rsid w:val="41942168"/>
    <w:rsid w:val="41D150BD"/>
    <w:rsid w:val="497F1A71"/>
    <w:rsid w:val="4B8C5D00"/>
    <w:rsid w:val="4C3A3287"/>
    <w:rsid w:val="5F65732E"/>
    <w:rsid w:val="5F716F1F"/>
    <w:rsid w:val="64DF601E"/>
    <w:rsid w:val="67B80218"/>
    <w:rsid w:val="6DB44D3A"/>
    <w:rsid w:val="74451EA8"/>
    <w:rsid w:val="75370A12"/>
    <w:rsid w:val="783326BD"/>
    <w:rsid w:val="7A4E1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48921AEA-9DF5-48F6-A0AD-51FDFDB99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footnote text" w:qFormat="1"/>
    <w:lsdException w:name="caption" w:semiHidden="1" w:unhideWhenUsed="1" w:qFormat="1"/>
    <w:lsdException w:name="Title" w:qFormat="1"/>
    <w:lsdException w:name="Default Paragraph Font" w:semiHidden="1" w:qFormat="1"/>
    <w:lsdException w:name="Body Text" w:qFormat="1"/>
    <w:lsdException w:name="Body Text Indent" w:uiPriority="99"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4"/>
    <w:next w:val="a"/>
    <w:uiPriority w:val="99"/>
    <w:qFormat/>
    <w:pPr>
      <w:spacing w:after="120"/>
      <w:ind w:leftChars="200" w:left="420"/>
    </w:pPr>
    <w:rPr>
      <w:rFonts w:ascii="Calibri" w:eastAsia="宋体" w:hAnsi="Calibri" w:cs="Times New Roman"/>
      <w:szCs w:val="24"/>
    </w:rPr>
  </w:style>
  <w:style w:type="paragraph" w:styleId="a4">
    <w:name w:val="Body Text"/>
    <w:basedOn w:val="a"/>
    <w:qFormat/>
    <w:rPr>
      <w:rFonts w:ascii="仿宋_GB2312" w:eastAsia="仿宋_GB2312" w:hAnsi="仿宋_GB2312" w:cs="仿宋_GB2312"/>
      <w:sz w:val="32"/>
      <w:szCs w:val="32"/>
      <w:lang w:val="zh-CN" w:bidi="zh-CN"/>
    </w:rPr>
  </w:style>
  <w:style w:type="paragraph" w:styleId="a5">
    <w:name w:val="Normal Indent"/>
    <w:basedOn w:val="a"/>
    <w:next w:val="a"/>
    <w:uiPriority w:val="99"/>
    <w:qFormat/>
    <w:pPr>
      <w:ind w:firstLineChars="200" w:firstLine="420"/>
    </w:pPr>
    <w:rPr>
      <w:rFonts w:eastAsia="仿宋" w:cs="Calibri"/>
      <w:sz w:val="32"/>
      <w:szCs w:val="32"/>
    </w:rPr>
  </w:style>
  <w:style w:type="paragraph" w:styleId="a6">
    <w:name w:val="footnote text"/>
    <w:basedOn w:val="a"/>
    <w:qFormat/>
    <w:pPr>
      <w:snapToGrid w:val="0"/>
      <w:jc w:val="left"/>
    </w:pPr>
    <w:rPr>
      <w:sz w:val="18"/>
      <w:szCs w:val="18"/>
    </w:rPr>
  </w:style>
  <w:style w:type="paragraph" w:styleId="a7">
    <w:name w:val="Normal (Web)"/>
    <w:basedOn w:val="a"/>
    <w:qFormat/>
    <w:pPr>
      <w:widowControl/>
      <w:spacing w:beforeAutospacing="1" w:afterAutospacing="1"/>
      <w:jc w:val="left"/>
    </w:pPr>
    <w:rPr>
      <w:rFonts w:ascii="宋体" w:eastAsia="宋体" w:hAnsi="宋体" w:cs="Times New Roman"/>
      <w:kern w:val="0"/>
      <w:sz w:val="24"/>
    </w:rPr>
  </w:style>
  <w:style w:type="character" w:styleId="a8">
    <w:name w:val="FollowedHyperlink"/>
    <w:basedOn w:val="a1"/>
    <w:qFormat/>
    <w:rPr>
      <w:color w:val="333333"/>
      <w:u w:val="none"/>
    </w:rPr>
  </w:style>
  <w:style w:type="character" w:styleId="a9">
    <w:name w:val="Hyperlink"/>
    <w:basedOn w:val="a1"/>
    <w:qFormat/>
    <w:rPr>
      <w:color w:val="333333"/>
      <w:u w:val="none"/>
    </w:rPr>
  </w:style>
  <w:style w:type="paragraph" w:customStyle="1" w:styleId="Bodytext1">
    <w:name w:val="Body text|1"/>
    <w:basedOn w:val="a"/>
    <w:qFormat/>
    <w:pPr>
      <w:spacing w:line="420" w:lineRule="auto"/>
      <w:ind w:firstLine="400"/>
    </w:pPr>
    <w:rPr>
      <w:rFonts w:ascii="宋体" w:eastAsia="宋体" w:hAnsi="宋体" w:cs="宋体"/>
      <w:sz w:val="28"/>
      <w:szCs w:val="28"/>
      <w:lang w:val="zh-TW" w:eastAsia="zh-TW" w:bidi="zh-TW"/>
    </w:rPr>
  </w:style>
  <w:style w:type="paragraph" w:styleId="aa">
    <w:name w:val="List Paragraph"/>
    <w:basedOn w:val="a"/>
    <w:uiPriority w:val="99"/>
    <w:qFormat/>
    <w:pPr>
      <w:ind w:firstLineChars="200" w:firstLine="420"/>
    </w:pPr>
  </w:style>
  <w:style w:type="paragraph" w:customStyle="1" w:styleId="Other1">
    <w:name w:val="Other|1"/>
    <w:basedOn w:val="a"/>
    <w:qFormat/>
    <w:pPr>
      <w:spacing w:line="212" w:lineRule="exact"/>
    </w:pPr>
    <w:rPr>
      <w:rFonts w:ascii="宋体" w:eastAsia="宋体" w:hAnsi="宋体" w:cs="宋体"/>
      <w:sz w:val="17"/>
      <w:szCs w:val="17"/>
      <w:lang w:val="zh-TW" w:eastAsia="zh-TW" w:bidi="zh-TW"/>
    </w:rPr>
  </w:style>
  <w:style w:type="paragraph" w:styleId="ab">
    <w:name w:val="header"/>
    <w:basedOn w:val="a"/>
    <w:link w:val="ac"/>
    <w:rsid w:val="005C4272"/>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1"/>
    <w:link w:val="ab"/>
    <w:rsid w:val="005C4272"/>
    <w:rPr>
      <w:rFonts w:asciiTheme="minorHAnsi" w:eastAsiaTheme="minorEastAsia" w:hAnsiTheme="minorHAnsi" w:cstheme="minorBidi"/>
      <w:kern w:val="2"/>
      <w:sz w:val="18"/>
      <w:szCs w:val="18"/>
    </w:rPr>
  </w:style>
  <w:style w:type="paragraph" w:styleId="ad">
    <w:name w:val="footer"/>
    <w:basedOn w:val="a"/>
    <w:link w:val="ae"/>
    <w:rsid w:val="005C4272"/>
    <w:pPr>
      <w:tabs>
        <w:tab w:val="center" w:pos="4153"/>
        <w:tab w:val="right" w:pos="8306"/>
      </w:tabs>
      <w:snapToGrid w:val="0"/>
      <w:jc w:val="left"/>
    </w:pPr>
    <w:rPr>
      <w:sz w:val="18"/>
      <w:szCs w:val="18"/>
    </w:rPr>
  </w:style>
  <w:style w:type="character" w:customStyle="1" w:styleId="ae">
    <w:name w:val="页脚 字符"/>
    <w:basedOn w:val="a1"/>
    <w:link w:val="ad"/>
    <w:rsid w:val="005C427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779</Words>
  <Characters>4445</Characters>
  <Application>Microsoft Office Word</Application>
  <DocSecurity>0</DocSecurity>
  <Lines>37</Lines>
  <Paragraphs>10</Paragraphs>
  <ScaleCrop>false</ScaleCrop>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林妹呀</dc:creator>
  <cp:lastModifiedBy>Admin</cp:lastModifiedBy>
  <cp:revision>2</cp:revision>
  <dcterms:created xsi:type="dcterms:W3CDTF">2021-05-25T01:53:00Z</dcterms:created>
  <dcterms:modified xsi:type="dcterms:W3CDTF">2023-04-24T06:37:00Z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FFABD528AB6B4D909C8EAB035E0818BF</vt:lpwstr>
  </property>
</Properties>
</file>