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江西省信丰县</w:t>
      </w:r>
      <w:bookmarkStart w:id="0" w:name="_GoBack"/>
      <w:r>
        <w:rPr>
          <w:rFonts w:hint="eastAsia"/>
          <w:sz w:val="44"/>
          <w:szCs w:val="44"/>
        </w:rPr>
        <w:t>公安局森林分局转移支付</w:t>
      </w:r>
      <w:r>
        <w:rPr>
          <w:sz w:val="44"/>
          <w:szCs w:val="44"/>
        </w:rPr>
        <w:t>202</w:t>
      </w:r>
      <w:r>
        <w:rPr>
          <w:rFonts w:hint="eastAsia"/>
          <w:sz w:val="44"/>
          <w:szCs w:val="44"/>
          <w:lang w:val="en-US" w:eastAsia="zh-CN"/>
        </w:rPr>
        <w:t>1</w:t>
      </w:r>
      <w:r>
        <w:rPr>
          <w:rFonts w:hint="eastAsia"/>
          <w:sz w:val="44"/>
          <w:szCs w:val="44"/>
        </w:rPr>
        <w:t>年度绩效自评报告</w:t>
      </w:r>
      <w:bookmarkEnd w:id="0"/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一、绩效目标分解下达情况</w:t>
      </w:r>
    </w:p>
    <w:p>
      <w:pPr>
        <w:rPr>
          <w:sz w:val="30"/>
          <w:szCs w:val="30"/>
        </w:rPr>
      </w:pPr>
      <w:r>
        <w:rPr>
          <w:sz w:val="30"/>
          <w:szCs w:val="30"/>
        </w:rPr>
        <w:t>1</w:t>
      </w:r>
      <w:r>
        <w:rPr>
          <w:rFonts w:hint="eastAsia"/>
          <w:sz w:val="30"/>
          <w:szCs w:val="30"/>
        </w:rPr>
        <w:t>、下达预算</w:t>
      </w:r>
    </w:p>
    <w:p>
      <w:pPr>
        <w:rPr>
          <w:sz w:val="30"/>
          <w:szCs w:val="30"/>
        </w:rPr>
      </w:pPr>
      <w:r>
        <w:rPr>
          <w:sz w:val="30"/>
          <w:szCs w:val="30"/>
        </w:rPr>
        <w:t>202</w:t>
      </w:r>
      <w:r>
        <w:rPr>
          <w:rFonts w:hint="eastAsia"/>
          <w:sz w:val="30"/>
          <w:szCs w:val="30"/>
          <w:lang w:val="en-US" w:eastAsia="zh-CN"/>
        </w:rPr>
        <w:t>1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lang w:eastAsia="zh-CN"/>
        </w:rPr>
        <w:t>政法转移资金</w:t>
      </w:r>
      <w:r>
        <w:rPr>
          <w:rFonts w:hint="eastAsia"/>
          <w:sz w:val="30"/>
          <w:szCs w:val="30"/>
        </w:rPr>
        <w:t>财政下达我局</w:t>
      </w:r>
      <w:r>
        <w:rPr>
          <w:rFonts w:hint="eastAsia"/>
          <w:sz w:val="30"/>
          <w:szCs w:val="30"/>
          <w:lang w:eastAsia="zh-CN"/>
        </w:rPr>
        <w:t>政法转移资金</w:t>
      </w:r>
      <w:r>
        <w:rPr>
          <w:rFonts w:hint="eastAsia"/>
          <w:sz w:val="30"/>
          <w:szCs w:val="30"/>
          <w:lang w:val="en-US" w:eastAsia="zh-CN"/>
        </w:rPr>
        <w:t>57</w:t>
      </w:r>
      <w:r>
        <w:rPr>
          <w:rFonts w:hint="eastAsia"/>
          <w:sz w:val="30"/>
          <w:szCs w:val="30"/>
        </w:rPr>
        <w:t>万元。</w:t>
      </w:r>
    </w:p>
    <w:p>
      <w:pPr>
        <w:rPr>
          <w:sz w:val="30"/>
          <w:szCs w:val="30"/>
        </w:rPr>
      </w:pPr>
      <w:r>
        <w:rPr>
          <w:sz w:val="30"/>
          <w:szCs w:val="30"/>
        </w:rPr>
        <w:t>2</w:t>
      </w:r>
      <w:r>
        <w:rPr>
          <w:rFonts w:hint="eastAsia"/>
          <w:sz w:val="30"/>
          <w:szCs w:val="30"/>
        </w:rPr>
        <w:t>、绩效目标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目标：用于办案相关支出。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二、绩效目标完成情况分析</w:t>
      </w:r>
    </w:p>
    <w:p>
      <w:pPr>
        <w:rPr>
          <w:sz w:val="30"/>
          <w:szCs w:val="30"/>
        </w:rPr>
      </w:pPr>
      <w:r>
        <w:rPr>
          <w:sz w:val="30"/>
          <w:szCs w:val="30"/>
        </w:rPr>
        <w:t>(</w:t>
      </w:r>
      <w:r>
        <w:rPr>
          <w:rFonts w:hint="eastAsia"/>
          <w:sz w:val="30"/>
          <w:szCs w:val="30"/>
        </w:rPr>
        <w:t>一</w:t>
      </w:r>
      <w:r>
        <w:rPr>
          <w:sz w:val="30"/>
          <w:szCs w:val="30"/>
        </w:rPr>
        <w:t>)</w:t>
      </w:r>
      <w:r>
        <w:rPr>
          <w:rFonts w:hint="eastAsia"/>
          <w:sz w:val="30"/>
          <w:szCs w:val="30"/>
        </w:rPr>
        <w:t>资金投入情况分析。</w:t>
      </w:r>
      <w:r>
        <w:rPr>
          <w:sz w:val="30"/>
          <w:szCs w:val="30"/>
        </w:rPr>
        <w:t>(</w:t>
      </w:r>
      <w:r>
        <w:rPr>
          <w:rFonts w:hint="eastAsia"/>
          <w:sz w:val="30"/>
          <w:szCs w:val="30"/>
        </w:rPr>
        <w:t>分析资金执行和管理等情况。</w:t>
      </w:r>
      <w:r>
        <w:rPr>
          <w:sz w:val="30"/>
          <w:szCs w:val="30"/>
        </w:rPr>
        <w:t>)</w:t>
      </w:r>
    </w:p>
    <w:p>
      <w:pPr>
        <w:rPr>
          <w:sz w:val="30"/>
          <w:szCs w:val="30"/>
        </w:rPr>
      </w:pPr>
      <w:r>
        <w:rPr>
          <w:sz w:val="30"/>
          <w:szCs w:val="30"/>
        </w:rPr>
        <w:t>202</w:t>
      </w:r>
      <w:r>
        <w:rPr>
          <w:rFonts w:hint="eastAsia"/>
          <w:sz w:val="30"/>
          <w:szCs w:val="30"/>
          <w:lang w:val="en-US" w:eastAsia="zh-CN"/>
        </w:rPr>
        <w:t>1</w:t>
      </w:r>
      <w:r>
        <w:rPr>
          <w:rFonts w:hint="eastAsia"/>
          <w:sz w:val="30"/>
          <w:szCs w:val="30"/>
        </w:rPr>
        <w:t>年我局省级专项转移支付资金</w:t>
      </w:r>
      <w:r>
        <w:rPr>
          <w:rFonts w:hint="eastAsia"/>
          <w:sz w:val="30"/>
          <w:szCs w:val="30"/>
          <w:lang w:val="en-US" w:eastAsia="zh-CN"/>
        </w:rPr>
        <w:t>57</w:t>
      </w:r>
      <w:r>
        <w:rPr>
          <w:rFonts w:hint="eastAsia"/>
          <w:sz w:val="30"/>
          <w:szCs w:val="30"/>
        </w:rPr>
        <w:t>万元，</w:t>
      </w:r>
      <w:r>
        <w:rPr>
          <w:rFonts w:hint="eastAsia"/>
          <w:sz w:val="30"/>
          <w:szCs w:val="30"/>
          <w:lang w:eastAsia="zh-CN"/>
        </w:rPr>
        <w:t>县</w:t>
      </w:r>
      <w:r>
        <w:rPr>
          <w:rFonts w:hint="eastAsia"/>
          <w:sz w:val="30"/>
          <w:szCs w:val="30"/>
        </w:rPr>
        <w:t>财政局均已下达。</w:t>
      </w:r>
    </w:p>
    <w:p>
      <w:pPr>
        <w:numPr>
          <w:ilvl w:val="0"/>
          <w:numId w:val="1"/>
        </w:numPr>
        <w:rPr>
          <w:sz w:val="30"/>
          <w:szCs w:val="30"/>
        </w:rPr>
      </w:pPr>
      <w:r>
        <w:rPr>
          <w:rFonts w:hint="eastAsia"/>
          <w:sz w:val="30"/>
          <w:szCs w:val="30"/>
        </w:rPr>
        <w:t>项目资金到位和执行情况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sz w:val="30"/>
          <w:szCs w:val="30"/>
        </w:rPr>
        <w:t>1</w:t>
      </w:r>
      <w:r>
        <w:rPr>
          <w:rFonts w:hint="eastAsia"/>
          <w:sz w:val="30"/>
          <w:szCs w:val="30"/>
        </w:rPr>
        <w:t>）办案业务费</w:t>
      </w:r>
      <w:r>
        <w:rPr>
          <w:rFonts w:hint="eastAsia"/>
          <w:sz w:val="30"/>
          <w:szCs w:val="30"/>
          <w:lang w:val="en-US" w:eastAsia="zh-CN"/>
        </w:rPr>
        <w:t>57</w:t>
      </w:r>
      <w:r>
        <w:rPr>
          <w:rFonts w:hint="eastAsia"/>
          <w:sz w:val="30"/>
          <w:szCs w:val="30"/>
        </w:rPr>
        <w:t>万元。已全部到位，且已全部用于我局办案相关支出，已全部执行。</w:t>
      </w:r>
    </w:p>
    <w:p>
      <w:pPr>
        <w:rPr>
          <w:sz w:val="30"/>
          <w:szCs w:val="30"/>
        </w:rPr>
      </w:pPr>
      <w:r>
        <w:rPr>
          <w:sz w:val="30"/>
          <w:szCs w:val="30"/>
        </w:rPr>
        <w:t>2</w:t>
      </w:r>
      <w:r>
        <w:rPr>
          <w:rFonts w:hint="eastAsia"/>
          <w:sz w:val="30"/>
          <w:szCs w:val="30"/>
        </w:rPr>
        <w:t>、项目资金管理情况分析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sz w:val="30"/>
          <w:szCs w:val="30"/>
        </w:rPr>
        <w:t>1</w:t>
      </w:r>
      <w:r>
        <w:rPr>
          <w:rFonts w:hint="eastAsia"/>
          <w:sz w:val="30"/>
          <w:szCs w:val="30"/>
        </w:rPr>
        <w:t>）认真做好中央和市级政法转移支付资金的管理使用工作，采取“抓到位、防抵顶、抓规划、防挤占、抓监督、防违规”等有力措施，确保了政法转移支付资金到位好、管理使用好、全程监管好，有效防止了专项资金被抵顶、挤占、挪用等问题的发生。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sz w:val="30"/>
          <w:szCs w:val="30"/>
        </w:rPr>
        <w:t>2</w:t>
      </w:r>
      <w:r>
        <w:rPr>
          <w:rFonts w:hint="eastAsia"/>
          <w:sz w:val="30"/>
          <w:szCs w:val="30"/>
        </w:rPr>
        <w:t>）我局严格执行政府采购法，注重引入竞争机制，对于各部门提交的政府采购项目预算，按照评审的核减预算数进行公开招标，提高了政法转移支付资金使用效益。大大提高了我局办公、办案的科技装备水平，全面提升了公安工作科技含量，在法律监督能力建设上形成了现实的战斗力。</w:t>
      </w:r>
    </w:p>
    <w:p>
      <w:pPr>
        <w:rPr>
          <w:sz w:val="30"/>
          <w:szCs w:val="30"/>
        </w:rPr>
      </w:pPr>
      <w:r>
        <w:rPr>
          <w:sz w:val="30"/>
          <w:szCs w:val="30"/>
        </w:rPr>
        <w:t>(</w:t>
      </w:r>
      <w:r>
        <w:rPr>
          <w:rFonts w:hint="eastAsia"/>
          <w:sz w:val="30"/>
          <w:szCs w:val="30"/>
        </w:rPr>
        <w:t>二</w:t>
      </w:r>
      <w:r>
        <w:rPr>
          <w:sz w:val="30"/>
          <w:szCs w:val="30"/>
        </w:rPr>
        <w:t>)</w:t>
      </w:r>
      <w:r>
        <w:rPr>
          <w:rFonts w:hint="eastAsia"/>
          <w:sz w:val="30"/>
          <w:szCs w:val="30"/>
        </w:rPr>
        <w:t>总体绩效目标完成情况分析。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主要用于与我局办理案件（业务）相关的办案（业务）支出。其中大项开支主要为办案差旅费</w:t>
      </w:r>
      <w:r>
        <w:rPr>
          <w:sz w:val="30"/>
          <w:szCs w:val="30"/>
        </w:rPr>
        <w:t>13.45</w:t>
      </w:r>
      <w:r>
        <w:rPr>
          <w:rFonts w:hint="eastAsia"/>
          <w:sz w:val="30"/>
          <w:szCs w:val="30"/>
        </w:rPr>
        <w:t>万元，车辆运行费</w:t>
      </w:r>
      <w:r>
        <w:rPr>
          <w:sz w:val="30"/>
          <w:szCs w:val="30"/>
        </w:rPr>
        <w:t>18.21</w:t>
      </w:r>
      <w:r>
        <w:rPr>
          <w:rFonts w:hint="eastAsia"/>
          <w:sz w:val="30"/>
          <w:szCs w:val="30"/>
        </w:rPr>
        <w:t>万元，其他办案费</w:t>
      </w:r>
      <w:r>
        <w:rPr>
          <w:sz w:val="30"/>
          <w:szCs w:val="30"/>
        </w:rPr>
        <w:t>2</w:t>
      </w:r>
      <w:r>
        <w:rPr>
          <w:rFonts w:hint="eastAsia"/>
          <w:sz w:val="30"/>
          <w:szCs w:val="30"/>
          <w:lang w:val="en-US" w:eastAsia="zh-CN"/>
        </w:rPr>
        <w:t>5</w:t>
      </w:r>
      <w:r>
        <w:rPr>
          <w:sz w:val="30"/>
          <w:szCs w:val="30"/>
        </w:rPr>
        <w:t>.34</w:t>
      </w:r>
      <w:r>
        <w:rPr>
          <w:rFonts w:hint="eastAsia"/>
          <w:sz w:val="30"/>
          <w:szCs w:val="30"/>
        </w:rPr>
        <w:t>万元等。</w:t>
      </w:r>
    </w:p>
    <w:p>
      <w:pPr>
        <w:rPr>
          <w:sz w:val="30"/>
          <w:szCs w:val="30"/>
        </w:rPr>
      </w:pPr>
      <w:r>
        <w:rPr>
          <w:sz w:val="30"/>
          <w:szCs w:val="30"/>
        </w:rPr>
        <w:t xml:space="preserve"> (</w:t>
      </w:r>
      <w:r>
        <w:rPr>
          <w:rFonts w:hint="eastAsia"/>
          <w:sz w:val="30"/>
          <w:szCs w:val="30"/>
        </w:rPr>
        <w:t>三</w:t>
      </w:r>
      <w:r>
        <w:rPr>
          <w:sz w:val="30"/>
          <w:szCs w:val="30"/>
        </w:rPr>
        <w:t>)</w:t>
      </w:r>
      <w:r>
        <w:rPr>
          <w:rFonts w:hint="eastAsia"/>
          <w:sz w:val="30"/>
          <w:szCs w:val="30"/>
        </w:rPr>
        <w:t>绩效指标完成情况分析。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办案业务费弥补了我局办案经费的不足，保障了我局有效履行公安职责，从经济效益看，加大了犯罪打击力度，保障林业改革发展成果；从生态利益看，对社会发展所带来的直接或间接影响情况，有利于社会发展；从生态效益看，对林区保持社会治安稳定的作用；从可持续影响看，维护了林区稳定；该项目绩效目标已完成。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三、偏离绩效目标的原因和下一步改进措施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下一步，我局将继续强化转移支付资金的使用和管理，确保不挪用、不挤用、不占用，各项目按时完工、资金执行到位，并强化考核结果应用。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215E40"/>
    <w:multiLevelType w:val="multilevel"/>
    <w:tmpl w:val="5A215E40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1474"/>
    <w:rsid w:val="00281474"/>
    <w:rsid w:val="00636B26"/>
    <w:rsid w:val="008813E4"/>
    <w:rsid w:val="3F9E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34</Words>
  <Characters>194</Characters>
  <Lines>1</Lines>
  <Paragraphs>1</Paragraphs>
  <TotalTime>0</TotalTime>
  <ScaleCrop>false</ScaleCrop>
  <LinksUpToDate>false</LinksUpToDate>
  <CharactersWithSpaces>227</CharactersWithSpaces>
  <Application>WPS Office_11.8.2.1115_F1E327BC-269C-435d-A152-05C5408002CA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2023-04-21T10:23:00Z</dcterms:created>
  <dc:creator>USER-</dc:creator>
  <cp:lastModifiedBy>huawei</cp:lastModifiedBy>
  <dcterms:modified xsi:type="dcterms:W3CDTF">2023-05-16T10:02:42Z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2052-11.8.2.1115</vt:lpwstr>
  </property>
  <property fmtid="{D5CDD505-2E9C-101B-9397-08002B2CF9AE}" pid="3" name="ICV">
    <vt:lpwstr>186E963E50CE762042E46264D2830E2E</vt:lpwstr>
  </property>
</Properties>
</file>