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附3</w:t>
      </w:r>
    </w:p>
    <w:p>
      <w:pPr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  <w:lang w:eastAsia="zh-CN"/>
        </w:rPr>
        <w:t>招商引资经费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项目支出</w:t>
      </w: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评价报告</w:t>
      </w:r>
    </w:p>
    <w:p>
      <w:pPr>
        <w:jc w:val="center"/>
        <w:rPr>
          <w:rFonts w:ascii="仿宋_GB2312"/>
          <w:szCs w:val="30"/>
        </w:rPr>
      </w:pP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一、基本情况</w:t>
      </w:r>
    </w:p>
    <w:p>
      <w:p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（一）项目概况。</w:t>
      </w:r>
    </w:p>
    <w:p>
      <w:pPr>
        <w:spacing w:line="600" w:lineRule="exact"/>
        <w:ind w:firstLine="600" w:firstLineChars="200"/>
        <w:outlineLvl w:val="0"/>
        <w:rPr>
          <w:rFonts w:hint="eastAsia" w:ascii="仿宋_GB2312"/>
          <w:lang w:eastAsia="zh-CN"/>
        </w:rPr>
      </w:pPr>
      <w:r>
        <w:rPr>
          <w:rFonts w:hint="eastAsia" w:ascii="仿宋_GB2312"/>
          <w:lang w:val="en-US" w:eastAsia="zh-CN"/>
        </w:rPr>
        <w:t>1.</w:t>
      </w:r>
      <w:r>
        <w:rPr>
          <w:rFonts w:hint="eastAsia" w:ascii="仿宋_GB2312"/>
        </w:rPr>
        <w:t>项目背景</w:t>
      </w:r>
      <w:r>
        <w:rPr>
          <w:rFonts w:hint="eastAsia" w:ascii="仿宋_GB2312"/>
          <w:lang w:eastAsia="zh-CN"/>
        </w:rPr>
        <w:t>。为提高我镇优质企业数量，解决全镇居民就业问题，促进全镇经济发展，特设此类项目支出。</w:t>
      </w:r>
    </w:p>
    <w:p>
      <w:pPr>
        <w:spacing w:line="600" w:lineRule="exact"/>
        <w:ind w:firstLine="600" w:firstLineChars="200"/>
        <w:outlineLvl w:val="0"/>
        <w:rPr>
          <w:rFonts w:hint="eastAsia" w:ascii="仿宋_GB2312"/>
          <w:lang w:eastAsia="zh-CN"/>
        </w:rPr>
      </w:pPr>
      <w:r>
        <w:rPr>
          <w:rFonts w:hint="eastAsia" w:ascii="仿宋_GB2312"/>
          <w:lang w:val="en-US" w:eastAsia="zh-CN"/>
        </w:rPr>
        <w:t>2.</w:t>
      </w:r>
      <w:r>
        <w:rPr>
          <w:rFonts w:hint="eastAsia" w:ascii="仿宋_GB2312"/>
        </w:rPr>
        <w:t>主要内容及实施情况</w:t>
      </w:r>
      <w:r>
        <w:rPr>
          <w:rFonts w:hint="eastAsia" w:ascii="仿宋_GB2312"/>
          <w:lang w:eastAsia="zh-CN"/>
        </w:rPr>
        <w:t>。招商引资，引进了一批优质企业，整体预算执行情况缴款。</w:t>
      </w:r>
    </w:p>
    <w:p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  <w:lang w:val="en-US" w:eastAsia="zh-CN"/>
        </w:rPr>
        <w:t>3.</w:t>
      </w:r>
      <w:r>
        <w:rPr>
          <w:rFonts w:hint="eastAsia" w:ascii="仿宋_GB2312"/>
        </w:rPr>
        <w:t>资金投入和使用情况。年初预算数13.72万元</w:t>
      </w:r>
      <w:r>
        <w:rPr>
          <w:rFonts w:hint="eastAsia" w:ascii="仿宋_GB2312"/>
          <w:lang w:eastAsia="zh-CN"/>
        </w:rPr>
        <w:t>，2021年全年执行情况13.72万元。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（二）项目绩效目标。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计划引进</w:t>
      </w:r>
      <w:r>
        <w:rPr>
          <w:rFonts w:hint="eastAsia" w:ascii="仿宋_GB2312"/>
          <w:lang w:eastAsia="zh-CN"/>
        </w:rPr>
        <w:t>一批优质</w:t>
      </w:r>
      <w:r>
        <w:rPr>
          <w:rFonts w:hint="eastAsia" w:ascii="仿宋_GB2312"/>
        </w:rPr>
        <w:t>企业，促进全县产业发展和经济增长，创造更多就业机会。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二、绩效评价工作开展情况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（一）绩效评价目的、对象和范围。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评价信丰县经济发展的必要性、招商引资项目的规范性、项目绩效的突出性等，进一步规范项目管理，提高信丰县各项经济发展。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绩效评价原则、评价指标体系（附表说明）、评价方法、评价标准等。</w:t>
      </w:r>
    </w:p>
    <w:p>
      <w:pPr>
        <w:numPr>
          <w:numId w:val="0"/>
        </w:numPr>
        <w:spacing w:line="600" w:lineRule="exact"/>
        <w:rPr>
          <w:rFonts w:ascii="仿宋_GB2312"/>
        </w:rPr>
      </w:pPr>
      <w:r>
        <w:rPr>
          <w:rFonts w:hint="eastAsia" w:ascii="仿宋_GB2312"/>
          <w:lang w:val="en-US" w:eastAsia="zh-CN"/>
        </w:rPr>
        <w:t xml:space="preserve">    坚持</w:t>
      </w:r>
      <w:r>
        <w:rPr>
          <w:rFonts w:hint="eastAsia" w:ascii="仿宋_GB2312"/>
        </w:rPr>
        <w:t>定量与定性分析相结合的原则</w:t>
      </w:r>
      <w:r>
        <w:rPr>
          <w:rFonts w:hint="eastAsia" w:ascii="仿宋_GB2312"/>
          <w:lang w:eastAsia="zh-CN"/>
        </w:rPr>
        <w:t>，保证绩效评价结果的</w:t>
      </w:r>
      <w:r>
        <w:rPr>
          <w:rFonts w:hint="eastAsia" w:ascii="仿宋_GB2312"/>
        </w:rPr>
        <w:t>真实性、科学性，规范性。在评价过程中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坚守绩效评价五大原则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对于结果也严格准守“三公”(公平、公正、公开)的要求，以目标效益分析法贯穿整个绩效考核过程。针对产出、效益，满意度三个一好指标进行细分。对项目绩效考核，体现了项目立项的合法性，合理性，资金使用的监管力度，组织实施的时效性。项目效益的实现性。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绩效评价工作过程。</w:t>
      </w:r>
    </w:p>
    <w:p>
      <w:pPr>
        <w:numPr>
          <w:numId w:val="0"/>
        </w:numPr>
        <w:spacing w:line="600" w:lineRule="exact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>第一阶段为建立绩效考评标准，第二阶段为确定绩效考评的内容。第三阶段为组织实施绩效考评。第四阶段为确定考评结果以及提出改进排施。</w:t>
      </w:r>
    </w:p>
    <w:p>
      <w:pPr>
        <w:numPr>
          <w:numId w:val="0"/>
        </w:numPr>
        <w:spacing w:line="600" w:lineRule="exact"/>
        <w:rPr>
          <w:rFonts w:hint="eastAsia" w:ascii="仿宋_GB2312"/>
        </w:rPr>
      </w:pPr>
      <w:r>
        <w:rPr>
          <w:rFonts w:hint="eastAsia" w:ascii="仿宋_GB2312"/>
        </w:rPr>
        <w:br w:type="page"/>
      </w:r>
    </w:p>
    <w:p>
      <w:pPr>
        <w:numPr>
          <w:ilvl w:val="0"/>
          <w:numId w:val="2"/>
        </w:num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综合评价情况及评价结论</w:t>
      </w:r>
    </w:p>
    <w:tbl>
      <w:tblPr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631"/>
        <w:gridCol w:w="666"/>
        <w:gridCol w:w="664"/>
        <w:gridCol w:w="814"/>
        <w:gridCol w:w="742"/>
        <w:gridCol w:w="729"/>
        <w:gridCol w:w="793"/>
        <w:gridCol w:w="781"/>
        <w:gridCol w:w="256"/>
        <w:gridCol w:w="778"/>
        <w:gridCol w:w="522"/>
        <w:gridCol w:w="523"/>
        <w:gridCol w:w="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874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74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小江镇人民政府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全年预算数（A)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全年执行数(B)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执行率(B/A)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计划引进一批优质企业，促进全县产业发展和经济增长，创造更多就业机会。</w:t>
            </w:r>
          </w:p>
        </w:tc>
        <w:tc>
          <w:tcPr>
            <w:tcW w:w="4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引进了一批优质企业，创造了一定的社会效益，拉动了经济增长，提供了一定的就业岗位。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年度指标值（A)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实际完成值(B)</w:t>
            </w:r>
          </w:p>
        </w:tc>
        <w:tc>
          <w:tcPr>
            <w:tcW w:w="10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指标1：引进的企业数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指标2：外出招商次数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7次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指标3：引进的投资额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≥2亿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3亿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指标1：重点企业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指标1：2021年全年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指标1：招商引资经费万元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指标1：实现招商引资高质量发展，促进我县经济进一步发展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指标1：推进产业迈向中高端水平，建立现代产业体系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指标1：招引的项目必须环保、安全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指标1：健全机制，提升服务新水平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指标1：引进企业满意度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8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                           审核人：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874" w:type="dxa"/>
            <w:gridSpan w:val="14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注：1.得分一档最高不能超过该指标分值上限。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874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2.评分标准：（1） 若为</w:t>
            </w:r>
            <w:r>
              <w:rPr>
                <w:rStyle w:val="5"/>
                <w:lang w:val="en-US" w:eastAsia="zh-CN" w:bidi="ar"/>
              </w:rPr>
              <w:t>定性指标</w:t>
            </w:r>
            <w:r>
              <w:rPr>
                <w:rStyle w:val="4"/>
                <w:lang w:val="en-US" w:eastAsia="zh-CN" w:bidi="ar"/>
              </w:rPr>
              <w:t>，根据指标完成情况分为：达成年度指标、部分达成年度指标并具有一定效果、未达成年度指标且效果较差三档，分别按照该指标对应分值区间100-80%(含80%)、80-60%(含60%)、60-0%合理确定分值。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874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（2）若为</w:t>
            </w:r>
            <w:r>
              <w:rPr>
                <w:rStyle w:val="5"/>
                <w:lang w:val="en-US" w:eastAsia="zh-CN" w:bidi="ar"/>
              </w:rPr>
              <w:t>定量指标</w:t>
            </w:r>
            <w:r>
              <w:rPr>
                <w:rStyle w:val="6"/>
                <w:lang w:val="en-US" w:eastAsia="zh-CN" w:bidi="ar"/>
              </w:rPr>
              <w:t>，完成值达到指标值，记满分；未达到指标值，按B/A或A/B*该指标分值记分。定量指标若为正向指标（即指标值为≥*），则得分计算方法应用全年实际值（B）/年度指标值（A）*该指标分值；若定量指标为反向指标（即指标值为≤*），则得分计算方法应用年度指标值（A）/全年实际值（B）*该指标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1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3.请在“偏差原因分析及改进措施”中说明偏离目标、不能完成目标的原因及拟采取的措施。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874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4.项目支出绩效指标设置要求。每个项目绩效评价指标设定中，原则上产出指标不少于4个，效益指标不少于2个，满意度指标不少于1个；其中定量指标占比不低于60%。</w:t>
            </w:r>
          </w:p>
        </w:tc>
      </w:tr>
    </w:tbl>
    <w:p>
      <w:pPr>
        <w:numPr>
          <w:numId w:val="0"/>
        </w:numPr>
        <w:spacing w:line="600" w:lineRule="exact"/>
        <w:rPr>
          <w:rFonts w:hint="eastAsia" w:ascii="黑体" w:hAnsi="黑体" w:eastAsia="黑体"/>
        </w:rPr>
      </w:pPr>
    </w:p>
    <w:p>
      <w:pPr>
        <w:numPr>
          <w:numId w:val="0"/>
        </w:num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 xml:space="preserve">    </w:t>
      </w:r>
      <w:r>
        <w:rPr>
          <w:rFonts w:hint="eastAsia" w:ascii="黑体" w:hAnsi="黑体" w:eastAsia="黑体"/>
        </w:rPr>
        <w:t>四、绩效评价指标分析</w:t>
      </w:r>
    </w:p>
    <w:p>
      <w:pPr>
        <w:numPr>
          <w:ilvl w:val="0"/>
          <w:numId w:val="3"/>
        </w:num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项目决策情况。</w:t>
      </w:r>
    </w:p>
    <w:p>
      <w:pPr>
        <w:numPr>
          <w:numId w:val="0"/>
        </w:numPr>
        <w:spacing w:line="600" w:lineRule="exact"/>
        <w:ind w:firstLine="600"/>
        <w:outlineLvl w:val="0"/>
        <w:rPr>
          <w:rFonts w:hint="eastAsia" w:ascii="仿宋_GB2312"/>
          <w:lang w:eastAsia="zh-CN"/>
        </w:rPr>
      </w:pPr>
      <w:r>
        <w:rPr>
          <w:rFonts w:hint="eastAsia" w:ascii="仿宋_GB2312"/>
        </w:rPr>
        <w:t>项目立项依据充分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符合法律法规，项目申请，设立过程符合相关要求，经过了必要的可行性研究，绩效目标的设定考虑了合理性，体现了明确性</w:t>
      </w:r>
      <w:r>
        <w:rPr>
          <w:rFonts w:hint="eastAsia" w:ascii="仿宋_GB2312"/>
          <w:lang w:eastAsia="zh-CN"/>
        </w:rPr>
        <w:t>。</w:t>
      </w:r>
    </w:p>
    <w:p>
      <w:pPr>
        <w:numPr>
          <w:numId w:val="0"/>
        </w:numPr>
        <w:spacing w:line="600" w:lineRule="exact"/>
        <w:ind w:firstLine="600"/>
        <w:outlineLvl w:val="0"/>
        <w:rPr>
          <w:rFonts w:hint="eastAsia" w:ascii="仿宋_GB2312"/>
          <w:lang w:eastAsia="zh-CN"/>
        </w:rPr>
      </w:pPr>
    </w:p>
    <w:p>
      <w:pPr>
        <w:numPr>
          <w:ilvl w:val="0"/>
          <w:numId w:val="3"/>
        </w:num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项目过程情况。</w:t>
      </w:r>
    </w:p>
    <w:p>
      <w:pPr>
        <w:numPr>
          <w:numId w:val="0"/>
        </w:numPr>
        <w:spacing w:line="600" w:lineRule="exact"/>
        <w:outlineLvl w:val="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>资金管理及时到位，安装计划执行，使用合理合规，监管制度完善，充分发挥了组织实施和监督管理的作用。</w:t>
      </w:r>
    </w:p>
    <w:p>
      <w:pPr>
        <w:numPr>
          <w:ilvl w:val="0"/>
          <w:numId w:val="3"/>
        </w:num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项目产出情况。</w:t>
      </w:r>
    </w:p>
    <w:p>
      <w:pPr>
        <w:numPr>
          <w:numId w:val="0"/>
        </w:numPr>
        <w:spacing w:line="600" w:lineRule="exact"/>
        <w:outlineLvl w:val="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>项目按时按量完成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质量达标，符合计划标准和行业标准，成本符合年初计划，有所节约。</w:t>
      </w:r>
    </w:p>
    <w:p>
      <w:pPr>
        <w:numPr>
          <w:ilvl w:val="0"/>
          <w:numId w:val="3"/>
        </w:num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项目效益情况。</w:t>
      </w:r>
    </w:p>
    <w:p>
      <w:pPr>
        <w:numPr>
          <w:numId w:val="0"/>
        </w:numPr>
        <w:spacing w:line="600" w:lineRule="exact"/>
        <w:outlineLvl w:val="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>项目完成后增加了就业岗位，解决了家乡就业难的问题，企业遵守节能减排的要求，保护生态，群众与企业满意度高。</w:t>
      </w:r>
    </w:p>
    <w:p>
      <w:pPr>
        <w:numPr>
          <w:ilvl w:val="0"/>
          <w:numId w:val="4"/>
        </w:num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主要经验及做法、存在的问题及原因分析</w:t>
      </w:r>
    </w:p>
    <w:p>
      <w:pPr>
        <w:numPr>
          <w:ilvl w:val="0"/>
          <w:numId w:val="0"/>
        </w:numPr>
        <w:spacing w:line="600" w:lineRule="exact"/>
        <w:outlineLvl w:val="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>统一里根，提高认识，通过宣传发动全镇</w:t>
      </w:r>
      <w:r>
        <w:rPr>
          <w:rFonts w:hint="eastAsia" w:ascii="仿宋_GB2312"/>
          <w:lang w:eastAsia="zh-CN"/>
        </w:rPr>
        <w:t>的力量，让</w:t>
      </w:r>
      <w:r>
        <w:rPr>
          <w:rFonts w:hint="eastAsia" w:ascii="仿宋_GB2312"/>
        </w:rPr>
        <w:t>全镇干部群众更进一步认识到了招商引资的重要性，紧迫性</w:t>
      </w:r>
      <w:r>
        <w:rPr>
          <w:rFonts w:hint="eastAsia" w:ascii="仿宋_GB2312"/>
          <w:lang w:eastAsia="zh-CN"/>
        </w:rPr>
        <w:t>。但同时也存在</w:t>
      </w:r>
      <w:r>
        <w:rPr>
          <w:rFonts w:hint="eastAsia" w:ascii="仿宋_GB2312"/>
        </w:rPr>
        <w:t>企业满意度不高</w:t>
      </w:r>
      <w:r>
        <w:rPr>
          <w:rFonts w:hint="eastAsia" w:ascii="仿宋_GB2312"/>
          <w:lang w:eastAsia="zh-CN"/>
        </w:rPr>
        <w:t>的问题</w:t>
      </w:r>
      <w:r>
        <w:rPr>
          <w:rFonts w:hint="eastAsia" w:ascii="仿宋_GB2312"/>
        </w:rPr>
        <w:t>，</w:t>
      </w:r>
      <w:r>
        <w:rPr>
          <w:rFonts w:hint="eastAsia" w:ascii="仿宋_GB2312"/>
          <w:lang w:eastAsia="zh-CN"/>
        </w:rPr>
        <w:t>需</w:t>
      </w:r>
      <w:r>
        <w:rPr>
          <w:rFonts w:hint="eastAsia" w:ascii="仿宋_GB2312"/>
        </w:rPr>
        <w:t>增加对企业的优惠政策，继续完善营商环境</w:t>
      </w:r>
      <w:r>
        <w:rPr>
          <w:rFonts w:hint="eastAsia" w:ascii="仿宋_GB2312"/>
          <w:lang w:eastAsia="zh-CN"/>
        </w:rPr>
        <w:t>，让企业安安心心的留下来。</w:t>
      </w:r>
    </w:p>
    <w:p>
      <w:pPr>
        <w:numPr>
          <w:ilvl w:val="0"/>
          <w:numId w:val="4"/>
        </w:num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有关建议</w:t>
      </w:r>
    </w:p>
    <w:p>
      <w:pPr>
        <w:numPr>
          <w:ilvl w:val="0"/>
          <w:numId w:val="0"/>
        </w:numPr>
        <w:spacing w:line="600" w:lineRule="exact"/>
        <w:outlineLvl w:val="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  (一)绩效目标和考评应完善相关标准和规范，既要考虑约束规范性，也要考虑各部门的适用灵活性。</w:t>
      </w:r>
    </w:p>
    <w:p>
      <w:pPr>
        <w:numPr>
          <w:ilvl w:val="0"/>
          <w:numId w:val="0"/>
        </w:numPr>
        <w:spacing w:line="600" w:lineRule="exact"/>
        <w:outlineLvl w:val="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  (二)绩效评价应建立多方协同精准联控机制，实现阳光绩效监控全覆盖。</w:t>
      </w:r>
    </w:p>
    <w:p>
      <w:pPr>
        <w:numPr>
          <w:ilvl w:val="0"/>
          <w:numId w:val="4"/>
        </w:num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其他需要说明的问题</w:t>
      </w:r>
    </w:p>
    <w:p>
      <w:pPr>
        <w:numPr>
          <w:ilvl w:val="0"/>
          <w:numId w:val="0"/>
        </w:numPr>
        <w:spacing w:line="600" w:lineRule="exact"/>
        <w:outlineLvl w:val="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  无。</w:t>
      </w:r>
      <w:bookmarkStart w:id="0" w:name="_GoBack"/>
      <w:bookmarkEnd w:id="0"/>
    </w:p>
    <w:p/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22B10"/>
    <w:multiLevelType w:val="singleLevel"/>
    <w:tmpl w:val="63522B10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3522B62"/>
    <w:multiLevelType w:val="singleLevel"/>
    <w:tmpl w:val="63522B62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63522BF6"/>
    <w:multiLevelType w:val="singleLevel"/>
    <w:tmpl w:val="63522BF6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63522C9F"/>
    <w:multiLevelType w:val="singleLevel"/>
    <w:tmpl w:val="63522C9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A79B2"/>
    <w:rsid w:val="002D4B09"/>
    <w:rsid w:val="25E320DB"/>
    <w:rsid w:val="3A9A79B2"/>
    <w:rsid w:val="4CC305FB"/>
    <w:rsid w:val="6D6B65DD"/>
    <w:rsid w:val="6F1D52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3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2022-10-21T04:42:00Z</dcterms:created>
  <dc:creator>Administrator</dc:creator>
  <cp:lastModifiedBy>Administrator</cp:lastModifiedBy>
  <dcterms:modified xsi:type="dcterms:W3CDTF">2022-10-21T05:01:55Z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