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信丰县安西镇人民政府</w:t>
      </w:r>
      <w:r>
        <w:rPr>
          <w:rFonts w:hint="eastAsia" w:ascii="黑体" w:eastAsia="黑体"/>
          <w:sz w:val="44"/>
          <w:szCs w:val="36"/>
        </w:rPr>
        <w:t>2019年度部门决算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信丰县安西镇人民政府</w:t>
      </w:r>
      <w:r>
        <w:rPr>
          <w:rFonts w:hint="eastAsia" w:ascii="黑体" w:hAnsi="黑体" w:eastAsia="黑体"/>
          <w:b/>
          <w:sz w:val="32"/>
          <w:szCs w:val="32"/>
        </w:rPr>
        <w:t>概况</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黑体" w:hAnsi="黑体" w:eastAsia="黑体"/>
          <w:sz w:val="32"/>
          <w:szCs w:val="32"/>
        </w:rPr>
      </w:pPr>
      <w:r>
        <w:rPr>
          <w:rFonts w:hint="eastAsia" w:ascii="黑体" w:hAnsi="黑体" w:eastAsia="黑体"/>
          <w:sz w:val="32"/>
          <w:szCs w:val="32"/>
        </w:rPr>
        <w:t>第二部分  2019年度部门决算表</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一、收入支出决算总表</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二、收入决算表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七、“三公”经费支出决算表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二、支出决算情况说明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三、财政拨款支出决算情况说明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五、“三公”经费支出决算情况说明</w:t>
      </w:r>
    </w:p>
    <w:p>
      <w:pPr>
        <w:keepNext w:val="0"/>
        <w:keepLines w:val="0"/>
        <w:pageBreakBefore w:val="0"/>
        <w:widowControl/>
        <w:kinsoku/>
        <w:wordWrap/>
        <w:overflowPunct/>
        <w:topLinePunct w:val="0"/>
        <w:autoSpaceDE/>
        <w:autoSpaceDN/>
        <w:bidi w:val="0"/>
        <w:adjustRightInd/>
        <w:snapToGrid/>
        <w:spacing w:line="58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六、机关运行经费支出情况说明</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七、政府采购支出情况说明</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八、国有资产占用情况说明</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九、预算绩效情况说明</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信丰县安西镇人民政府</w:t>
      </w:r>
      <w:r>
        <w:rPr>
          <w:rFonts w:hint="eastAsia" w:ascii="宋体" w:hAnsi="宋体"/>
          <w:b/>
          <w:sz w:val="32"/>
          <w:szCs w:val="30"/>
        </w:rPr>
        <w:t>概况</w:t>
      </w:r>
    </w:p>
    <w:p>
      <w:pPr>
        <w:ind w:firstLine="630"/>
        <w:jc w:val="center"/>
        <w:rPr>
          <w:rFonts w:hint="eastAsia"/>
          <w:sz w:val="32"/>
          <w:szCs w:val="32"/>
        </w:rPr>
      </w:pPr>
    </w:p>
    <w:p>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一、部门主要职能</w:t>
      </w:r>
    </w:p>
    <w:p>
      <w:pPr>
        <w:pStyle w:val="5"/>
        <w:shd w:val="clear" w:color="auto" w:fill="auto"/>
        <w:spacing w:line="520" w:lineRule="exact"/>
        <w:ind w:firstLine="36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rPr>
        <w:t>党委工作职责：（1）保证党的路线、方针、政策的坚决贯彻执行；（2）保证监督职能；（3）教育和管理职能；（4）服从和服务于经济建设的职能；（5）负责抓好本乡党建工作、群团工作、精神文明建设工作、新闻宣传工作；（6）完成上级部门交给的其他工作任务。</w:t>
      </w:r>
    </w:p>
    <w:p>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sz w:val="30"/>
          <w:szCs w:val="30"/>
        </w:rPr>
      </w:pPr>
    </w:p>
    <w:p>
      <w:pPr>
        <w:pStyle w:val="5"/>
        <w:shd w:val="clear" w:color="auto" w:fill="auto"/>
        <w:spacing w:line="520" w:lineRule="exact"/>
        <w:ind w:firstLine="360"/>
        <w:jc w:val="left"/>
        <w:rPr>
          <w:rFonts w:hint="eastAsia" w:ascii="仿宋_GB2312" w:hAnsi="仿宋" w:eastAsia="仿宋_GB2312"/>
          <w:sz w:val="32"/>
          <w:szCs w:val="32"/>
        </w:rPr>
      </w:pPr>
      <w:r>
        <w:rPr>
          <w:rFonts w:hint="eastAsia" w:ascii="仿宋" w:hAnsi="仿宋" w:eastAsia="仿宋"/>
          <w:sz w:val="30"/>
          <w:szCs w:val="30"/>
        </w:rPr>
        <w:t>（二）</w:t>
      </w:r>
      <w:r>
        <w:rPr>
          <w:rFonts w:hint="eastAsia" w:ascii="仿宋" w:hAnsi="仿宋" w:eastAsia="仿宋"/>
          <w:sz w:val="30"/>
          <w:szCs w:val="30"/>
          <w:lang w:val="en-US"/>
        </w:rPr>
        <w:t>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管好财政资金，增强财政实力。（5）抓好精神文明建设，丰富群众文化生活，提倡移风易俗，反对封建迷信，破除陈规陋习，树立社会主义新风尚。（6）完成上级政府交办的其它事项。</w:t>
      </w:r>
    </w:p>
    <w:p>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w:t>
      </w:r>
      <w:r>
        <w:rPr>
          <w:rFonts w:hint="eastAsia" w:ascii="仿宋" w:hAnsi="仿宋" w:eastAsia="仿宋"/>
          <w:sz w:val="30"/>
          <w:szCs w:val="30"/>
          <w:lang w:eastAsia="zh-CN"/>
        </w:rPr>
        <w:t>信丰县安西镇人民政府</w:t>
      </w:r>
      <w:r>
        <w:rPr>
          <w:rFonts w:hint="eastAsia" w:ascii="仿宋" w:hAnsi="仿宋" w:eastAsia="仿宋"/>
          <w:sz w:val="30"/>
          <w:szCs w:val="30"/>
        </w:rPr>
        <w:t>决算汇编范围的单位共</w:t>
      </w:r>
      <w:r>
        <w:rPr>
          <w:rFonts w:hint="eastAsia" w:ascii="仿宋" w:hAnsi="仿宋" w:eastAsia="仿宋"/>
          <w:sz w:val="30"/>
          <w:szCs w:val="30"/>
          <w:lang w:val="en-US" w:eastAsia="zh-CN"/>
        </w:rPr>
        <w:t>6</w:t>
      </w:r>
      <w:r>
        <w:rPr>
          <w:rFonts w:hint="eastAsia" w:ascii="仿宋" w:hAnsi="仿宋" w:eastAsia="仿宋"/>
          <w:sz w:val="30"/>
          <w:szCs w:val="30"/>
        </w:rPr>
        <w:t>个，包括：</w:t>
      </w:r>
      <w:r>
        <w:rPr>
          <w:rFonts w:hint="eastAsia" w:ascii="仿宋" w:hAnsi="仿宋" w:eastAsia="仿宋"/>
          <w:sz w:val="30"/>
          <w:szCs w:val="30"/>
          <w:lang w:val="en-US" w:eastAsia="zh-CN"/>
        </w:rPr>
        <w:t>2个行政单位，4个事业单位</w:t>
      </w:r>
      <w:r>
        <w:rPr>
          <w:rFonts w:hint="eastAsia" w:ascii="仿宋" w:hAnsi="仿宋" w:eastAsia="仿宋"/>
          <w:sz w:val="30"/>
          <w:szCs w:val="30"/>
        </w:rPr>
        <w:t>。</w:t>
      </w:r>
      <w:r>
        <w:rPr>
          <w:rFonts w:hint="eastAsia" w:ascii="仿宋" w:hAnsi="仿宋" w:eastAsia="仿宋"/>
          <w:sz w:val="30"/>
          <w:szCs w:val="30"/>
          <w:lang w:eastAsia="zh-CN"/>
        </w:rPr>
        <w:t>包括</w:t>
      </w:r>
      <w:r>
        <w:rPr>
          <w:rFonts w:hint="eastAsia" w:ascii="仿宋_GB2312" w:hAnsi="仿宋" w:eastAsia="仿宋_GB2312"/>
          <w:sz w:val="32"/>
          <w:szCs w:val="32"/>
          <w:lang w:eastAsia="zh-CN"/>
        </w:rPr>
        <w:t>新增退役军人服务站</w:t>
      </w:r>
      <w:r>
        <w:rPr>
          <w:rFonts w:hint="eastAsia" w:ascii="仿宋_GB2312" w:hAnsi="仿宋" w:eastAsia="仿宋_GB2312"/>
          <w:sz w:val="32"/>
          <w:szCs w:val="32"/>
          <w:lang w:val="en-US" w:eastAsia="zh-CN"/>
        </w:rPr>
        <w:t>1个事业单位机构</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sz w:val="30"/>
          <w:szCs w:val="30"/>
        </w:rPr>
      </w:pPr>
      <w:r>
        <w:rPr>
          <w:rFonts w:hint="eastAsia" w:ascii="仿宋" w:hAnsi="仿宋" w:eastAsia="仿宋"/>
          <w:sz w:val="30"/>
          <w:szCs w:val="30"/>
        </w:rPr>
        <w:t>本部门2019年年末职工人数</w:t>
      </w:r>
      <w:r>
        <w:rPr>
          <w:rFonts w:hint="eastAsia" w:ascii="仿宋" w:hAnsi="仿宋" w:eastAsia="仿宋"/>
          <w:sz w:val="30"/>
          <w:szCs w:val="30"/>
          <w:lang w:val="en-US" w:eastAsia="zh-CN"/>
        </w:rPr>
        <w:t>73</w:t>
      </w:r>
      <w:r>
        <w:rPr>
          <w:rFonts w:hint="eastAsia" w:ascii="仿宋" w:hAnsi="仿宋" w:eastAsia="仿宋"/>
          <w:sz w:val="30"/>
          <w:szCs w:val="30"/>
        </w:rPr>
        <w:t>人，其中在职人员</w:t>
      </w:r>
      <w:r>
        <w:rPr>
          <w:rFonts w:hint="eastAsia" w:ascii="仿宋" w:hAnsi="仿宋" w:eastAsia="仿宋"/>
          <w:sz w:val="30"/>
          <w:szCs w:val="30"/>
          <w:lang w:val="en-US" w:eastAsia="zh-CN"/>
        </w:rPr>
        <w:t>57</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24</w:t>
      </w:r>
      <w:r>
        <w:rPr>
          <w:rFonts w:hint="eastAsia" w:ascii="仿宋" w:hAnsi="仿宋" w:eastAsia="仿宋"/>
          <w:sz w:val="30"/>
          <w:szCs w:val="30"/>
        </w:rPr>
        <w:t>人；年末其他人员</w:t>
      </w:r>
      <w:r>
        <w:rPr>
          <w:rFonts w:hint="eastAsia" w:ascii="仿宋" w:hAnsi="仿宋" w:eastAsia="仿宋"/>
          <w:sz w:val="30"/>
          <w:szCs w:val="30"/>
          <w:lang w:val="en-US" w:eastAsia="zh-CN"/>
        </w:rPr>
        <w:t>16</w:t>
      </w:r>
      <w:r>
        <w:rPr>
          <w:rFonts w:hint="eastAsia" w:ascii="仿宋" w:hAnsi="仿宋" w:eastAsia="仿宋"/>
          <w:sz w:val="30"/>
          <w:szCs w:val="30"/>
        </w:rPr>
        <w:t xml:space="preserve"> 人；年末学生人数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宋体" w:hAnsi="宋体"/>
          <w:b/>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jc w:val="center"/>
        <w:textAlignment w:val="auto"/>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2019年度部门决算表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770" cy="4895215"/>
            <wp:effectExtent l="0" t="0" r="5080" b="635"/>
            <wp:docPr id="9" name="图片 1" descr="D:\用户目录\我的图片\收入支出决算总表.JPG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用户目录\我的图片\收入支出决算总表.JPG收入支出决算总表"/>
                    <pic:cNvPicPr>
                      <a:picLocks noChangeAspect="1"/>
                    </pic:cNvPicPr>
                  </pic:nvPicPr>
                  <pic:blipFill>
                    <a:blip r:embed="rId4"/>
                    <a:srcRect/>
                    <a:stretch>
                      <a:fillRect/>
                    </a:stretch>
                  </pic:blipFill>
                  <pic:spPr>
                    <a:xfrm>
                      <a:off x="0" y="0"/>
                      <a:ext cx="5271770" cy="489521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21605" cy="3798570"/>
            <wp:effectExtent l="0" t="0" r="17145" b="11430"/>
            <wp:docPr id="10" name="图片 2" descr="D:\用户目录\我的图片\收入决算表.JPG收入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D:\用户目录\我的图片\收入决算表.JPG收入决算表"/>
                    <pic:cNvPicPr>
                      <a:picLocks noChangeAspect="1"/>
                    </pic:cNvPicPr>
                  </pic:nvPicPr>
                  <pic:blipFill>
                    <a:blip r:embed="rId5"/>
                    <a:srcRect/>
                    <a:stretch>
                      <a:fillRect/>
                    </a:stretch>
                  </pic:blipFill>
                  <pic:spPr>
                    <a:xfrm>
                      <a:off x="0" y="0"/>
                      <a:ext cx="5221605" cy="379857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15890" cy="4053840"/>
            <wp:effectExtent l="0" t="0" r="3810" b="3810"/>
            <wp:docPr id="11" name="图片 3" descr="D:\用户目录\我的图片\支出决算表.JPG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D:\用户目录\我的图片\支出决算表.JPG支出决算表"/>
                    <pic:cNvPicPr>
                      <a:picLocks noChangeAspect="1"/>
                    </pic:cNvPicPr>
                  </pic:nvPicPr>
                  <pic:blipFill>
                    <a:blip r:embed="rId6"/>
                    <a:srcRect/>
                    <a:stretch>
                      <a:fillRect/>
                    </a:stretch>
                  </pic:blipFill>
                  <pic:spPr>
                    <a:xfrm>
                      <a:off x="0" y="0"/>
                      <a:ext cx="5215890" cy="405384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69230" cy="4038600"/>
            <wp:effectExtent l="0" t="0" r="7620" b="0"/>
            <wp:docPr id="12" name="图片 4" descr="D:\用户目录\我的图片\b.JP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D:\用户目录\我的图片\b.JPGb"/>
                    <pic:cNvPicPr>
                      <a:picLocks noChangeAspect="1"/>
                    </pic:cNvPicPr>
                  </pic:nvPicPr>
                  <pic:blipFill>
                    <a:blip r:embed="rId7"/>
                    <a:srcRect/>
                    <a:stretch>
                      <a:fillRect/>
                    </a:stretch>
                  </pic:blipFill>
                  <pic:spPr>
                    <a:xfrm>
                      <a:off x="0" y="0"/>
                      <a:ext cx="5269230" cy="403860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r>
        <w:rPr>
          <w:rFonts w:hint="eastAsia"/>
        </w:rPr>
        <w:t xml:space="preserve"> 财政拨款收入支出决算总表</w: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969510" cy="6658610"/>
            <wp:effectExtent l="0" t="0" r="2540" b="8890"/>
            <wp:docPr id="13" name="图片 5" descr="D:\用户目录\我的图片\c.JP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D:\用户目录\我的图片\c.JPGc"/>
                    <pic:cNvPicPr>
                      <a:picLocks noChangeAspect="1"/>
                    </pic:cNvPicPr>
                  </pic:nvPicPr>
                  <pic:blipFill>
                    <a:blip r:embed="rId8"/>
                    <a:srcRect/>
                    <a:stretch>
                      <a:fillRect/>
                    </a:stretch>
                  </pic:blipFill>
                  <pic:spPr>
                    <a:xfrm>
                      <a:off x="0" y="0"/>
                      <a:ext cx="4969510" cy="665861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053965" cy="8705215"/>
            <wp:effectExtent l="0" t="0" r="13335" b="635"/>
            <wp:docPr id="14" name="图片 6" descr="D:\用户目录\我的图片\d.JP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D:\用户目录\我的图片\d.JPGd"/>
                    <pic:cNvPicPr>
                      <a:picLocks noChangeAspect="1"/>
                    </pic:cNvPicPr>
                  </pic:nvPicPr>
                  <pic:blipFill>
                    <a:blip r:embed="rId9"/>
                    <a:srcRect/>
                    <a:stretch>
                      <a:fillRect/>
                    </a:stretch>
                  </pic:blipFill>
                  <pic:spPr>
                    <a:xfrm>
                      <a:off x="0" y="0"/>
                      <a:ext cx="5053965" cy="87052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9230" cy="4862830"/>
            <wp:effectExtent l="0" t="0" r="7620" b="13970"/>
            <wp:docPr id="21" name="图片 13" descr="D:\用户目录\我的图片\e.JP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D:\用户目录\我的图片\e.JPGe"/>
                    <pic:cNvPicPr>
                      <a:picLocks noChangeAspect="1"/>
                    </pic:cNvPicPr>
                  </pic:nvPicPr>
                  <pic:blipFill>
                    <a:blip r:embed="rId10"/>
                    <a:srcRect/>
                    <a:stretch>
                      <a:fillRect/>
                    </a:stretch>
                  </pic:blipFill>
                  <pic:spPr>
                    <a:xfrm>
                      <a:off x="0" y="0"/>
                      <a:ext cx="5269230" cy="486283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szCs w:val="30"/>
        </w:rPr>
      </w:pPr>
      <w:r>
        <w:drawing>
          <wp:inline distT="0" distB="0" distL="114300" distR="114300">
            <wp:extent cx="5267960" cy="2105660"/>
            <wp:effectExtent l="0" t="0" r="8890" b="8890"/>
            <wp:docPr id="17" name="图片 8" descr="D:\用户目录\我的图片\f.JP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D:\用户目录\我的图片\f.JPGf"/>
                    <pic:cNvPicPr>
                      <a:picLocks noChangeAspect="1"/>
                    </pic:cNvPicPr>
                  </pic:nvPicPr>
                  <pic:blipFill>
                    <a:blip r:embed="rId11"/>
                    <a:srcRect/>
                    <a:stretch>
                      <a:fillRect/>
                    </a:stretch>
                  </pic:blipFill>
                  <pic:spPr>
                    <a:xfrm>
                      <a:off x="0" y="0"/>
                      <a:ext cx="5267960" cy="21056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747260" cy="2936875"/>
            <wp:effectExtent l="0" t="0" r="15240" b="15875"/>
            <wp:docPr id="15" name="图片 9" descr="D:\用户目录\我的图片\g.JP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D:\用户目录\我的图片\g.JPGg"/>
                    <pic:cNvPicPr>
                      <a:picLocks noChangeAspect="1"/>
                    </pic:cNvPicPr>
                  </pic:nvPicPr>
                  <pic:blipFill>
                    <a:blip r:embed="rId12"/>
                    <a:srcRect/>
                    <a:stretch>
                      <a:fillRect/>
                    </a:stretch>
                  </pic:blipFill>
                  <pic:spPr>
                    <a:xfrm>
                      <a:off x="0" y="0"/>
                      <a:ext cx="4747260" cy="29368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keepNext w:val="0"/>
        <w:keepLines w:val="0"/>
        <w:pageBreakBefore w:val="0"/>
        <w:widowControl/>
        <w:kinsoku/>
        <w:wordWrap/>
        <w:overflowPunct/>
        <w:topLinePunct w:val="0"/>
        <w:bidi w:val="0"/>
        <w:snapToGrid/>
        <w:spacing w:line="580" w:lineRule="exact"/>
        <w:ind w:firstLine="640"/>
        <w:jc w:val="center"/>
        <w:textAlignment w:val="auto"/>
        <w:rPr>
          <w:rFonts w:hint="eastAsia" w:ascii="宋体" w:hAnsi="宋体"/>
          <w:b/>
          <w:sz w:val="32"/>
          <w:szCs w:val="32"/>
        </w:rPr>
      </w:pPr>
      <w:r>
        <w:rPr>
          <w:rFonts w:hint="eastAsia" w:ascii="宋体" w:hAnsi="宋体"/>
          <w:b/>
          <w:sz w:val="32"/>
          <w:szCs w:val="32"/>
        </w:rPr>
        <w:t>第三部分  2019年度部门决算情况说明</w:t>
      </w:r>
    </w:p>
    <w:p>
      <w:pPr>
        <w:keepNext w:val="0"/>
        <w:keepLines w:val="0"/>
        <w:pageBreakBefore w:val="0"/>
        <w:kinsoku/>
        <w:wordWrap/>
        <w:overflowPunct/>
        <w:topLinePunct w:val="0"/>
        <w:bidi w:val="0"/>
        <w:snapToGrid/>
        <w:spacing w:line="580" w:lineRule="exact"/>
        <w:ind w:firstLine="630"/>
        <w:jc w:val="left"/>
        <w:textAlignment w:val="auto"/>
        <w:rPr>
          <w:rFonts w:hint="eastAsia" w:ascii="仿宋" w:hAnsi="仿宋" w:eastAsia="仿宋"/>
          <w:sz w:val="30"/>
          <w:szCs w:val="30"/>
        </w:rPr>
      </w:pP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本部门2019年度收入总计</w:t>
      </w:r>
      <w:r>
        <w:rPr>
          <w:rFonts w:hint="eastAsia" w:ascii="仿宋" w:hAnsi="仿宋" w:eastAsia="仿宋"/>
          <w:sz w:val="30"/>
          <w:szCs w:val="30"/>
          <w:lang w:val="en-US" w:eastAsia="zh-CN"/>
        </w:rPr>
        <w:t>8485.85</w:t>
      </w:r>
      <w:r>
        <w:rPr>
          <w:rFonts w:hint="eastAsia" w:ascii="仿宋" w:hAnsi="仿宋" w:eastAsia="仿宋"/>
          <w:sz w:val="30"/>
          <w:szCs w:val="30"/>
        </w:rPr>
        <w:t>万元，其中</w:t>
      </w:r>
      <w:r>
        <w:rPr>
          <w:rFonts w:hint="eastAsia" w:ascii="仿宋" w:hAnsi="仿宋" w:eastAsia="仿宋"/>
          <w:sz w:val="30"/>
          <w:szCs w:val="30"/>
          <w:lang w:val="en-US" w:eastAsia="zh-CN"/>
        </w:rPr>
        <w:t>一般公共预算财政拨款收入决算数为2007.13万元，占决算收入总额的23.65%；政府性基金预算财政拨款收入决算数为4263.78万元，占决算收入总额的50.25%；年初结转和结余决算数为2214.94万元，占决算收入总额的26.10%。</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本部门2019年度支出总计</w:t>
      </w:r>
      <w:r>
        <w:rPr>
          <w:rFonts w:hint="eastAsia" w:ascii="仿宋" w:hAnsi="仿宋" w:eastAsia="仿宋"/>
          <w:sz w:val="30"/>
          <w:szCs w:val="30"/>
          <w:lang w:val="en-US" w:eastAsia="zh-CN"/>
        </w:rPr>
        <w:t>5766.92</w:t>
      </w:r>
      <w:r>
        <w:rPr>
          <w:rFonts w:hint="eastAsia" w:ascii="仿宋" w:hAnsi="仿宋" w:eastAsia="仿宋"/>
          <w:sz w:val="30"/>
          <w:szCs w:val="30"/>
        </w:rPr>
        <w:t>万元，其中</w:t>
      </w:r>
      <w:r>
        <w:rPr>
          <w:rFonts w:hint="eastAsia" w:ascii="仿宋" w:hAnsi="仿宋" w:eastAsia="仿宋"/>
          <w:sz w:val="30"/>
          <w:szCs w:val="30"/>
          <w:lang w:val="en-US" w:eastAsia="zh-CN"/>
        </w:rPr>
        <w:t>一般公共服务支出决算数为789.64万元，占决算支出总额的13.69%；社会保障和就业支出决算数为98.15万元，占决算支出总额的1.70%；卫生健康决算数为30.11万元，占决算支出总额的0.52%；城乡社区支出决算数为4704.33万元，占决算支出总额的81.58%；农林水支出决算数为99.76万元，占决算支出总额的1.73%；交通运输支出决算数为10万元，占决算支出总额的0.17%；住房保障支出决算数为34.93万元，占决算支出总额的0.61%。</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2019年信丰县安西镇人民政府财政拨款收入决算数为2007.13万元，占决算收入总额的23.65%。</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2019年决算支出总额为5766.92万元，基本支出决算数为952.67万元，占决算支出总额的16.52%。其中，人员经费支出决算数为627.42万元，日常公用经费支出决算数为325.25万元。项目支出决算数为4814.25万元，占决算支出总额的83.48%。</w:t>
      </w:r>
    </w:p>
    <w:p>
      <w:pPr>
        <w:keepNext w:val="0"/>
        <w:keepLines w:val="0"/>
        <w:pageBreakBefore w:val="0"/>
        <w:kinsoku/>
        <w:wordWrap/>
        <w:overflowPunct/>
        <w:topLinePunct w:val="0"/>
        <w:bidi w:val="0"/>
        <w:snapToGrid/>
        <w:spacing w:line="580" w:lineRule="exact"/>
        <w:ind w:firstLine="630"/>
        <w:jc w:val="left"/>
        <w:textAlignment w:val="auto"/>
        <w:rPr>
          <w:rFonts w:hint="eastAsia" w:ascii="仿宋" w:hAnsi="仿宋" w:eastAsia="仿宋"/>
          <w:sz w:val="30"/>
          <w:szCs w:val="30"/>
        </w:rPr>
      </w:pPr>
    </w:p>
    <w:p>
      <w:pPr>
        <w:keepNext w:val="0"/>
        <w:keepLines w:val="0"/>
        <w:pageBreakBefore w:val="0"/>
        <w:kinsoku/>
        <w:wordWrap/>
        <w:overflowPunct/>
        <w:topLinePunct w:val="0"/>
        <w:bidi w:val="0"/>
        <w:snapToGrid/>
        <w:spacing w:line="580" w:lineRule="exact"/>
        <w:ind w:firstLine="585"/>
        <w:jc w:val="left"/>
        <w:textAlignment w:val="auto"/>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keepNext w:val="0"/>
        <w:keepLines w:val="0"/>
        <w:pageBreakBefore w:val="0"/>
        <w:kinsoku/>
        <w:wordWrap/>
        <w:overflowPunct/>
        <w:topLinePunct w:val="0"/>
        <w:bidi w:val="0"/>
        <w:snapToGrid/>
        <w:spacing w:line="580" w:lineRule="exact"/>
        <w:ind w:firstLine="585"/>
        <w:jc w:val="left"/>
        <w:textAlignment w:val="auto"/>
        <w:rPr>
          <w:rFonts w:hint="eastAsia" w:ascii="仿宋" w:hAnsi="仿宋" w:eastAsia="仿宋"/>
          <w:sz w:val="30"/>
          <w:szCs w:val="30"/>
        </w:rPr>
      </w:pPr>
      <w:r>
        <w:rPr>
          <w:rFonts w:hint="eastAsia" w:ascii="仿宋" w:hAnsi="仿宋" w:eastAsia="仿宋"/>
          <w:sz w:val="30"/>
          <w:szCs w:val="30"/>
        </w:rPr>
        <w:t>本部门2019年度一般公共预算财政拨款基本支出</w:t>
      </w:r>
      <w:r>
        <w:rPr>
          <w:rFonts w:hint="eastAsia" w:ascii="仿宋" w:hAnsi="仿宋" w:eastAsia="仿宋"/>
          <w:sz w:val="30"/>
          <w:szCs w:val="30"/>
          <w:lang w:val="en-US" w:eastAsia="zh-CN"/>
        </w:rPr>
        <w:t>1562.6</w:t>
      </w:r>
      <w:r>
        <w:rPr>
          <w:rFonts w:hint="eastAsia" w:ascii="仿宋" w:hAnsi="仿宋" w:eastAsia="仿宋"/>
          <w:sz w:val="30"/>
          <w:szCs w:val="30"/>
        </w:rPr>
        <w:t>万元，其中：</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工资福利支出381.44万元、商品和服务支出325.25万元、对个人和家庭的补助支出245.98万元；项目支出2132.32万元，占支出年初预算总额的69.69%，包括基本建设项目支出2132.32万元。</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五、“三公”经费支出决算情况说明</w:t>
      </w:r>
    </w:p>
    <w:p>
      <w:pPr>
        <w:keepNext w:val="0"/>
        <w:keepLines w:val="0"/>
        <w:pageBreakBefore w:val="0"/>
        <w:kinsoku/>
        <w:wordWrap/>
        <w:overflowPunct/>
        <w:topLinePunct w:val="0"/>
        <w:bidi w:val="0"/>
        <w:snapToGrid/>
        <w:spacing w:line="580" w:lineRule="exact"/>
        <w:ind w:firstLine="630"/>
        <w:jc w:val="left"/>
        <w:textAlignment w:val="auto"/>
        <w:rPr>
          <w:rFonts w:hint="eastAsia" w:ascii="仿宋" w:hAnsi="仿宋" w:eastAsia="仿宋"/>
          <w:sz w:val="30"/>
          <w:szCs w:val="30"/>
        </w:rPr>
      </w:pPr>
      <w:r>
        <w:rPr>
          <w:rFonts w:hint="eastAsia" w:ascii="仿宋" w:hAnsi="仿宋" w:eastAsia="仿宋"/>
          <w:sz w:val="30"/>
          <w:szCs w:val="30"/>
        </w:rPr>
        <w:t>本部门2019年度“三公”经费支出年初预算数为</w:t>
      </w:r>
      <w:r>
        <w:rPr>
          <w:rFonts w:hint="eastAsia" w:ascii="仿宋" w:hAnsi="仿宋" w:eastAsia="仿宋"/>
          <w:sz w:val="30"/>
          <w:szCs w:val="30"/>
          <w:lang w:val="en-US" w:eastAsia="zh-CN"/>
        </w:rPr>
        <w:t>72.86</w:t>
      </w:r>
      <w:r>
        <w:rPr>
          <w:rFonts w:hint="eastAsia" w:ascii="仿宋" w:hAnsi="仿宋" w:eastAsia="仿宋"/>
          <w:sz w:val="30"/>
          <w:szCs w:val="30"/>
        </w:rPr>
        <w:t>万元，决算数为</w:t>
      </w:r>
      <w:r>
        <w:rPr>
          <w:rFonts w:hint="eastAsia" w:ascii="仿宋" w:hAnsi="仿宋" w:eastAsia="仿宋"/>
          <w:sz w:val="30"/>
          <w:szCs w:val="30"/>
          <w:lang w:val="en-US" w:eastAsia="zh-CN"/>
        </w:rPr>
        <w:t>66.69</w:t>
      </w:r>
      <w:r>
        <w:rPr>
          <w:rFonts w:hint="eastAsia" w:ascii="仿宋" w:hAnsi="仿宋" w:eastAsia="仿宋"/>
          <w:sz w:val="30"/>
          <w:szCs w:val="30"/>
        </w:rPr>
        <w:t>万元，完成预算的</w:t>
      </w:r>
      <w:r>
        <w:rPr>
          <w:rFonts w:hint="eastAsia" w:ascii="仿宋" w:hAnsi="仿宋" w:eastAsia="仿宋"/>
          <w:sz w:val="30"/>
          <w:szCs w:val="30"/>
          <w:lang w:val="en-US" w:eastAsia="zh-CN"/>
        </w:rPr>
        <w:t>91.53</w:t>
      </w:r>
      <w:r>
        <w:rPr>
          <w:rFonts w:hint="eastAsia" w:ascii="仿宋" w:hAnsi="仿宋" w:eastAsia="仿宋"/>
          <w:sz w:val="30"/>
          <w:szCs w:val="30"/>
        </w:rPr>
        <w:t>%，决算数较2018年减少</w:t>
      </w:r>
      <w:r>
        <w:rPr>
          <w:rFonts w:hint="eastAsia" w:ascii="仿宋" w:hAnsi="仿宋" w:eastAsia="仿宋"/>
          <w:sz w:val="30"/>
          <w:szCs w:val="30"/>
          <w:lang w:val="en-US" w:eastAsia="zh-CN"/>
        </w:rPr>
        <w:t>12.50</w:t>
      </w:r>
      <w:r>
        <w:rPr>
          <w:rFonts w:hint="eastAsia" w:ascii="仿宋" w:hAnsi="仿宋" w:eastAsia="仿宋"/>
          <w:sz w:val="30"/>
          <w:szCs w:val="30"/>
        </w:rPr>
        <w:t>万元，下降</w:t>
      </w:r>
      <w:r>
        <w:rPr>
          <w:rFonts w:hint="eastAsia" w:ascii="仿宋" w:hAnsi="仿宋" w:eastAsia="仿宋"/>
          <w:sz w:val="30"/>
          <w:szCs w:val="30"/>
          <w:lang w:val="en-US" w:eastAsia="zh-CN"/>
        </w:rPr>
        <w:t>17.5</w:t>
      </w:r>
      <w:r>
        <w:rPr>
          <w:rFonts w:hint="eastAsia" w:ascii="仿宋" w:hAnsi="仿宋" w:eastAsia="仿宋"/>
          <w:sz w:val="30"/>
          <w:szCs w:val="30"/>
        </w:rPr>
        <w:t>%，其中：</w:t>
      </w:r>
    </w:p>
    <w:p>
      <w:pPr>
        <w:keepNext w:val="0"/>
        <w:keepLines w:val="0"/>
        <w:pageBreakBefore w:val="0"/>
        <w:numPr>
          <w:ilvl w:val="0"/>
          <w:numId w:val="1"/>
        </w:numPr>
        <w:kinsoku/>
        <w:wordWrap/>
        <w:overflowPunct/>
        <w:topLinePunct w:val="0"/>
        <w:bidi w:val="0"/>
        <w:snapToGrid/>
        <w:spacing w:line="580" w:lineRule="exact"/>
        <w:ind w:firstLine="630"/>
        <w:jc w:val="left"/>
        <w:textAlignment w:val="auto"/>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%，决算数较2018年增加（减少）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keepNext w:val="0"/>
        <w:keepLines w:val="0"/>
        <w:pageBreakBefore w:val="0"/>
        <w:numPr>
          <w:ilvl w:val="0"/>
          <w:numId w:val="1"/>
        </w:numPr>
        <w:kinsoku/>
        <w:wordWrap/>
        <w:overflowPunct/>
        <w:topLinePunct w:val="0"/>
        <w:bidi w:val="0"/>
        <w:snapToGrid/>
        <w:spacing w:line="580" w:lineRule="exact"/>
        <w:ind w:firstLine="630"/>
        <w:jc w:val="left"/>
        <w:textAlignment w:val="auto"/>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52.03</w:t>
      </w:r>
      <w:r>
        <w:rPr>
          <w:rFonts w:hint="eastAsia" w:ascii="仿宋" w:hAnsi="仿宋" w:eastAsia="仿宋"/>
          <w:sz w:val="30"/>
          <w:szCs w:val="30"/>
        </w:rPr>
        <w:t>万元，决算数为</w:t>
      </w:r>
      <w:r>
        <w:rPr>
          <w:rFonts w:hint="eastAsia" w:ascii="仿宋" w:hAnsi="仿宋" w:eastAsia="仿宋"/>
          <w:sz w:val="30"/>
          <w:szCs w:val="30"/>
          <w:lang w:val="en-US" w:eastAsia="zh-CN"/>
        </w:rPr>
        <w:t>52.03</w:t>
      </w:r>
      <w:r>
        <w:rPr>
          <w:rFonts w:hint="eastAsia" w:ascii="仿宋" w:hAnsi="仿宋" w:eastAsia="仿宋"/>
          <w:sz w:val="30"/>
          <w:szCs w:val="30"/>
        </w:rPr>
        <w:t>万元，完成预算的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%，决算数较2018年减少</w:t>
      </w:r>
      <w:r>
        <w:rPr>
          <w:rFonts w:hint="eastAsia" w:ascii="仿宋" w:hAnsi="仿宋" w:eastAsia="仿宋"/>
          <w:sz w:val="30"/>
          <w:szCs w:val="30"/>
          <w:lang w:val="en-US" w:eastAsia="zh-CN"/>
        </w:rPr>
        <w:t>12.5</w:t>
      </w:r>
      <w:r>
        <w:rPr>
          <w:rFonts w:hint="eastAsia" w:ascii="仿宋" w:hAnsi="仿宋" w:eastAsia="仿宋"/>
          <w:sz w:val="30"/>
          <w:szCs w:val="30"/>
        </w:rPr>
        <w:t>万元，下降</w:t>
      </w:r>
      <w:r>
        <w:rPr>
          <w:rFonts w:hint="eastAsia" w:ascii="仿宋" w:hAnsi="仿宋" w:eastAsia="仿宋"/>
          <w:sz w:val="30"/>
          <w:szCs w:val="30"/>
          <w:lang w:val="en-US" w:eastAsia="zh-CN"/>
        </w:rPr>
        <w:t>17.5</w:t>
      </w:r>
      <w:r>
        <w:rPr>
          <w:rFonts w:hint="eastAsia" w:ascii="仿宋" w:hAnsi="仿宋" w:eastAsia="仿宋"/>
          <w:sz w:val="30"/>
          <w:szCs w:val="30"/>
        </w:rPr>
        <w:t>%。决算数较年初预算数减少的主要原因是：严格遵守中央八项规定，厉行节约。</w:t>
      </w:r>
    </w:p>
    <w:p>
      <w:pPr>
        <w:keepNext w:val="0"/>
        <w:keepLines w:val="0"/>
        <w:pageBreakBefore w:val="0"/>
        <w:numPr>
          <w:ilvl w:val="0"/>
          <w:numId w:val="1"/>
        </w:numPr>
        <w:kinsoku/>
        <w:wordWrap/>
        <w:overflowPunct/>
        <w:topLinePunct w:val="0"/>
        <w:bidi w:val="0"/>
        <w:snapToGrid/>
        <w:spacing w:line="580" w:lineRule="exact"/>
        <w:ind w:firstLine="630"/>
        <w:jc w:val="left"/>
        <w:textAlignment w:val="auto"/>
        <w:rPr>
          <w:rFonts w:hint="eastAsia" w:ascii="仿宋" w:hAnsi="仿宋" w:eastAsia="仿宋"/>
          <w:sz w:val="30"/>
          <w:szCs w:val="30"/>
        </w:rPr>
      </w:pPr>
      <w:r>
        <w:rPr>
          <w:rFonts w:hint="eastAsia" w:ascii="仿宋" w:hAnsi="仿宋" w:eastAsia="仿宋"/>
          <w:sz w:val="30"/>
          <w:szCs w:val="30"/>
        </w:rPr>
        <w:t>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%，决算数较2018年减少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%。决算数较年初预算数减少的主要原因是：严格遵守中央八项规定，厉行节约；公务用车运行维护费支出年初预算数为</w:t>
      </w:r>
      <w:r>
        <w:rPr>
          <w:rFonts w:hint="eastAsia" w:ascii="仿宋" w:hAnsi="仿宋" w:eastAsia="仿宋"/>
          <w:sz w:val="30"/>
          <w:szCs w:val="30"/>
          <w:lang w:val="en-US" w:eastAsia="zh-CN"/>
        </w:rPr>
        <w:t>20.83</w:t>
      </w:r>
      <w:r>
        <w:rPr>
          <w:rFonts w:hint="eastAsia" w:ascii="仿宋" w:hAnsi="仿宋" w:eastAsia="仿宋"/>
          <w:sz w:val="30"/>
          <w:szCs w:val="30"/>
        </w:rPr>
        <w:t>万元，决算数为</w:t>
      </w:r>
      <w:r>
        <w:rPr>
          <w:rFonts w:hint="eastAsia" w:ascii="仿宋" w:hAnsi="仿宋" w:eastAsia="仿宋"/>
          <w:sz w:val="30"/>
          <w:szCs w:val="30"/>
          <w:lang w:val="en-US" w:eastAsia="zh-CN"/>
        </w:rPr>
        <w:t>14.66</w:t>
      </w:r>
      <w:r>
        <w:rPr>
          <w:rFonts w:hint="eastAsia" w:ascii="仿宋" w:hAnsi="仿宋" w:eastAsia="仿宋"/>
          <w:sz w:val="30"/>
          <w:szCs w:val="30"/>
        </w:rPr>
        <w:t>万元，完成预算的</w:t>
      </w:r>
      <w:r>
        <w:rPr>
          <w:rFonts w:hint="eastAsia" w:ascii="仿宋" w:hAnsi="仿宋" w:eastAsia="仿宋"/>
          <w:sz w:val="30"/>
          <w:szCs w:val="30"/>
          <w:lang w:val="en-US" w:eastAsia="zh-CN"/>
        </w:rPr>
        <w:t>50.6</w:t>
      </w:r>
      <w:r>
        <w:rPr>
          <w:rFonts w:hint="eastAsia" w:ascii="仿宋" w:hAnsi="仿宋" w:eastAsia="仿宋"/>
          <w:sz w:val="30"/>
          <w:szCs w:val="30"/>
        </w:rPr>
        <w:t xml:space="preserve"> %，决算数较2018年减少</w:t>
      </w:r>
      <w:r>
        <w:rPr>
          <w:rFonts w:hint="eastAsia" w:ascii="仿宋" w:hAnsi="仿宋" w:eastAsia="仿宋"/>
          <w:sz w:val="30"/>
          <w:szCs w:val="30"/>
          <w:lang w:val="en-US" w:eastAsia="zh-CN"/>
        </w:rPr>
        <w:t>15.02</w:t>
      </w:r>
      <w:r>
        <w:rPr>
          <w:rFonts w:hint="eastAsia" w:ascii="仿宋" w:hAnsi="仿宋" w:eastAsia="仿宋"/>
          <w:sz w:val="30"/>
          <w:szCs w:val="30"/>
        </w:rPr>
        <w:t>万元，下降</w:t>
      </w:r>
      <w:r>
        <w:rPr>
          <w:rFonts w:hint="eastAsia" w:ascii="仿宋" w:hAnsi="仿宋" w:eastAsia="仿宋"/>
          <w:sz w:val="30"/>
          <w:szCs w:val="30"/>
          <w:lang w:val="en-US" w:eastAsia="zh-CN"/>
        </w:rPr>
        <w:t>50.6</w:t>
      </w:r>
      <w:r>
        <w:rPr>
          <w:rFonts w:hint="eastAsia" w:ascii="仿宋" w:hAnsi="仿宋" w:eastAsia="仿宋"/>
          <w:sz w:val="30"/>
          <w:szCs w:val="30"/>
        </w:rPr>
        <w:t>%。决算数较年初预算数减少的主要原因是：严格遵守中央八项规定，厉行节约。</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val="0"/>
          <w:bCs w:val="0"/>
          <w:sz w:val="30"/>
          <w:szCs w:val="30"/>
        </w:rPr>
      </w:pPr>
      <w:r>
        <w:rPr>
          <w:rFonts w:hint="eastAsia" w:ascii="仿宋" w:hAnsi="仿宋" w:eastAsia="仿宋"/>
          <w:sz w:val="30"/>
          <w:szCs w:val="30"/>
        </w:rPr>
        <w:t>本部门2019年度机关运行经费支出</w:t>
      </w:r>
      <w:r>
        <w:rPr>
          <w:rFonts w:hint="eastAsia" w:ascii="仿宋" w:hAnsi="仿宋" w:eastAsia="仿宋"/>
          <w:sz w:val="30"/>
          <w:szCs w:val="30"/>
          <w:lang w:val="en-US" w:eastAsia="zh-CN"/>
        </w:rPr>
        <w:t>325.25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3.89</w:t>
      </w:r>
      <w:r>
        <w:rPr>
          <w:rFonts w:hint="eastAsia" w:ascii="仿宋" w:hAnsi="仿宋" w:eastAsia="仿宋"/>
          <w:sz w:val="30"/>
          <w:szCs w:val="30"/>
        </w:rPr>
        <w:t>万元，降低</w:t>
      </w:r>
      <w:r>
        <w:rPr>
          <w:rFonts w:hint="eastAsia" w:ascii="仿宋" w:hAnsi="仿宋" w:eastAsia="仿宋"/>
          <w:sz w:val="30"/>
          <w:szCs w:val="30"/>
          <w:lang w:val="en-US" w:eastAsia="zh-CN"/>
        </w:rPr>
        <w:t>1.2</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落实过紧日子要求压减公用经费支出</w:t>
      </w:r>
      <w:r>
        <w:rPr>
          <w:rFonts w:hint="eastAsia" w:ascii="仿宋" w:hAnsi="仿宋" w:eastAsia="仿宋"/>
          <w:b w:val="0"/>
          <w:bCs w:val="0"/>
          <w:sz w:val="30"/>
          <w:szCs w:val="30"/>
        </w:rPr>
        <w:t xml:space="preserve"> </w:t>
      </w:r>
    </w:p>
    <w:p>
      <w:pPr>
        <w:keepNext w:val="0"/>
        <w:keepLines w:val="0"/>
        <w:pageBreakBefore w:val="0"/>
        <w:kinsoku/>
        <w:wordWrap/>
        <w:overflowPunct/>
        <w:topLinePunct w:val="0"/>
        <w:bidi w:val="0"/>
        <w:snapToGrid/>
        <w:spacing w:line="580" w:lineRule="exact"/>
        <w:ind w:firstLine="630"/>
        <w:jc w:val="left"/>
        <w:textAlignment w:val="auto"/>
        <w:rPr>
          <w:rFonts w:ascii="黑体" w:hAnsi="黑体" w:eastAsia="黑体"/>
          <w:sz w:val="30"/>
          <w:szCs w:val="30"/>
        </w:rPr>
      </w:pPr>
      <w:r>
        <w:rPr>
          <w:rFonts w:hint="eastAsia" w:ascii="黑体" w:hAnsi="黑体" w:eastAsia="黑体"/>
          <w:sz w:val="30"/>
          <w:szCs w:val="30"/>
        </w:rPr>
        <w:t>七、政府采购支出情况说明</w:t>
      </w:r>
    </w:p>
    <w:p>
      <w:pPr>
        <w:pStyle w:val="4"/>
        <w:keepNext w:val="0"/>
        <w:keepLines w:val="0"/>
        <w:pageBreakBefore w:val="0"/>
        <w:kinsoku/>
        <w:wordWrap/>
        <w:overflowPunct/>
        <w:topLinePunct w:val="0"/>
        <w:bidi w:val="0"/>
        <w:snapToGrid/>
        <w:spacing w:line="580" w:lineRule="exact"/>
        <w:ind w:firstLine="600"/>
        <w:textAlignment w:val="auto"/>
        <w:rPr>
          <w:rFonts w:hint="eastAsia" w:ascii="仿宋" w:hAnsi="仿宋" w:eastAsia="仿宋"/>
          <w:sz w:val="30"/>
          <w:szCs w:val="30"/>
        </w:rPr>
      </w:pPr>
      <w:r>
        <w:rPr>
          <w:rFonts w:hint="eastAsia" w:ascii="仿宋" w:hAnsi="仿宋" w:eastAsia="仿宋"/>
          <w:sz w:val="30"/>
          <w:szCs w:val="30"/>
        </w:rPr>
        <w:t>本部门2019年度政府采购支出总额</w:t>
      </w:r>
      <w:r>
        <w:rPr>
          <w:rFonts w:hint="eastAsia" w:ascii="仿宋" w:hAnsi="仿宋" w:eastAsia="仿宋"/>
          <w:sz w:val="30"/>
          <w:szCs w:val="30"/>
          <w:lang w:val="en-US" w:eastAsia="zh-CN"/>
        </w:rPr>
        <w:t>10.3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10.3</w:t>
      </w:r>
      <w:r>
        <w:rPr>
          <w:rFonts w:hint="eastAsia" w:ascii="仿宋" w:hAnsi="仿宋" w:eastAsia="仿宋"/>
          <w:sz w:val="30"/>
          <w:szCs w:val="30"/>
        </w:rPr>
        <w:t>万元、政府采购工程支出  万元、政府采购服务支出  万元。授予中小企业合同金额  万元，占政府采购支出总额的  %，其中：授予小微企业合同金额  万元，占政府采购支出总额的  %。</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八、国有资产占用情况说明。</w:t>
      </w:r>
    </w:p>
    <w:p>
      <w:pPr>
        <w:keepNext w:val="0"/>
        <w:keepLines w:val="0"/>
        <w:pageBreakBefore w:val="0"/>
        <w:kinsoku/>
        <w:wordWrap/>
        <w:overflowPunct/>
        <w:topLinePunct w:val="0"/>
        <w:bidi w:val="0"/>
        <w:snapToGrid/>
        <w:spacing w:line="580" w:lineRule="exact"/>
        <w:ind w:firstLine="630"/>
        <w:jc w:val="left"/>
        <w:textAlignment w:val="auto"/>
        <w:rPr>
          <w:rFonts w:hint="eastAsia" w:ascii="仿宋" w:hAnsi="仿宋" w:eastAsia="仿宋"/>
          <w:kern w:val="0"/>
          <w:sz w:val="30"/>
          <w:szCs w:val="30"/>
        </w:rPr>
      </w:pPr>
      <w:r>
        <w:rPr>
          <w:rFonts w:hint="eastAsia" w:ascii="仿宋" w:hAnsi="仿宋" w:eastAsia="仿宋"/>
          <w:kern w:val="0"/>
          <w:sz w:val="30"/>
          <w:szCs w:val="30"/>
        </w:rPr>
        <w:t xml:space="preserve">截止2019年12月31日，本部门共有车辆 </w:t>
      </w:r>
      <w:r>
        <w:rPr>
          <w:rFonts w:hint="eastAsia" w:ascii="仿宋" w:hAnsi="仿宋" w:eastAsia="仿宋"/>
          <w:kern w:val="0"/>
          <w:sz w:val="30"/>
          <w:szCs w:val="30"/>
          <w:lang w:val="en-US" w:eastAsia="zh-CN"/>
        </w:rPr>
        <w:t>2</w:t>
      </w:r>
      <w:r>
        <w:rPr>
          <w:rFonts w:hint="eastAsia" w:ascii="仿宋" w:hAnsi="仿宋" w:eastAsia="仿宋"/>
          <w:kern w:val="0"/>
          <w:sz w:val="30"/>
          <w:szCs w:val="30"/>
        </w:rPr>
        <w:t xml:space="preserve"> 辆，其中，副部（省）级及以上领导用车  辆、主要领导干部用车 </w:t>
      </w:r>
      <w:r>
        <w:rPr>
          <w:rFonts w:hint="eastAsia" w:ascii="仿宋" w:hAnsi="仿宋" w:eastAsia="仿宋"/>
          <w:kern w:val="0"/>
          <w:sz w:val="30"/>
          <w:szCs w:val="30"/>
          <w:lang w:val="en-US" w:eastAsia="zh-CN"/>
        </w:rPr>
        <w:t>2</w:t>
      </w:r>
      <w:r>
        <w:rPr>
          <w:rFonts w:hint="eastAsia" w:ascii="仿宋" w:hAnsi="仿宋" w:eastAsia="仿宋"/>
          <w:kern w:val="0"/>
          <w:sz w:val="30"/>
          <w:szCs w:val="30"/>
        </w:rPr>
        <w:t xml:space="preserve"> 辆、机要通信用车  辆、应急保障用车  辆、执法执勤用车  辆、特种专业技术用车  辆、其他用车  辆，其他用车主要是</w:t>
      </w:r>
      <w:r>
        <w:rPr>
          <w:rFonts w:ascii="仿宋" w:hAnsi="仿宋" w:eastAsia="仿宋"/>
          <w:kern w:val="0"/>
          <w:sz w:val="30"/>
          <w:szCs w:val="30"/>
        </w:rPr>
        <w:t>……</w:t>
      </w:r>
      <w:r>
        <w:rPr>
          <w:rFonts w:hint="eastAsia" w:ascii="仿宋" w:hAnsi="仿宋" w:eastAsia="仿宋"/>
          <w:kern w:val="0"/>
          <w:sz w:val="30"/>
          <w:szCs w:val="30"/>
        </w:rPr>
        <w:t>；单位价值50万元以上通用设备  台（套）；单位价值100万元以上专用设备  台（套）。</w:t>
      </w:r>
    </w:p>
    <w:p>
      <w:pPr>
        <w:keepNext w:val="0"/>
        <w:keepLines w:val="0"/>
        <w:pageBreakBefore w:val="0"/>
        <w:kinsoku/>
        <w:wordWrap/>
        <w:overflowPunct/>
        <w:topLinePunct w:val="0"/>
        <w:bidi w:val="0"/>
        <w:snapToGrid/>
        <w:spacing w:line="58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九、预算绩效情况说明</w:t>
      </w:r>
    </w:p>
    <w:p>
      <w:pPr>
        <w:keepNext w:val="0"/>
        <w:keepLines w:val="0"/>
        <w:pageBreakBefore w:val="0"/>
        <w:kinsoku/>
        <w:wordWrap/>
        <w:overflowPunct/>
        <w:topLinePunct w:val="0"/>
        <w:autoSpaceDE w:val="0"/>
        <w:autoSpaceDN w:val="0"/>
        <w:bidi w:val="0"/>
        <w:adjustRightInd w:val="0"/>
        <w:snapToGrid/>
        <w:spacing w:line="58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keepNext w:val="0"/>
        <w:keepLines w:val="0"/>
        <w:pageBreakBefore w:val="0"/>
        <w:kinsoku/>
        <w:wordWrap/>
        <w:overflowPunct/>
        <w:topLinePunct w:val="0"/>
        <w:bidi w:val="0"/>
        <w:snapToGrid/>
        <w:spacing w:line="580" w:lineRule="exact"/>
        <w:ind w:firstLine="630"/>
        <w:jc w:val="left"/>
        <w:textAlignment w:val="auto"/>
        <w:rPr>
          <w:rFonts w:ascii="仿宋" w:hAnsi="仿宋" w:eastAsia="仿宋" w:cs="仿宋_GB2312"/>
          <w:kern w:val="0"/>
          <w:sz w:val="30"/>
          <w:szCs w:val="30"/>
        </w:rPr>
      </w:pPr>
      <w:r>
        <w:rPr>
          <w:rFonts w:hint="eastAsia" w:ascii="仿宋" w:hAnsi="仿宋" w:eastAsia="仿宋"/>
          <w:kern w:val="0"/>
          <w:sz w:val="30"/>
          <w:szCs w:val="30"/>
        </w:rPr>
        <w:t xml:space="preserve">根据预算绩效管理要求，我部门组织对2019年度一般公共预算项目支出全面开展绩效自评，其中，一级项目 </w:t>
      </w:r>
      <w:r>
        <w:rPr>
          <w:rFonts w:hint="eastAsia" w:ascii="仿宋" w:hAnsi="仿宋" w:eastAsia="仿宋"/>
          <w:kern w:val="0"/>
          <w:sz w:val="30"/>
          <w:szCs w:val="30"/>
          <w:lang w:val="en-US" w:eastAsia="zh-CN"/>
        </w:rPr>
        <w:t>2</w:t>
      </w:r>
      <w:r>
        <w:rPr>
          <w:rFonts w:hint="eastAsia" w:ascii="仿宋" w:hAnsi="仿宋" w:eastAsia="仿宋"/>
          <w:kern w:val="0"/>
          <w:sz w:val="30"/>
          <w:szCs w:val="30"/>
        </w:rPr>
        <w:t xml:space="preserve"> 个，二级项目</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个，共涉及资金 </w:t>
      </w:r>
      <w:r>
        <w:rPr>
          <w:rFonts w:hint="eastAsia" w:ascii="仿宋" w:hAnsi="仿宋" w:eastAsia="仿宋"/>
          <w:kern w:val="0"/>
          <w:sz w:val="30"/>
          <w:szCs w:val="30"/>
          <w:lang w:val="en-US" w:eastAsia="zh-CN"/>
        </w:rPr>
        <w:t>4.5</w:t>
      </w:r>
      <w:r>
        <w:rPr>
          <w:rFonts w:hint="eastAsia" w:ascii="仿宋" w:hAnsi="仿宋" w:eastAsia="仿宋"/>
          <w:kern w:val="0"/>
          <w:sz w:val="30"/>
          <w:szCs w:val="30"/>
        </w:rPr>
        <w:t xml:space="preserve"> 万元，占一般公共预算项目支出总额的</w:t>
      </w:r>
      <w:r>
        <w:rPr>
          <w:rFonts w:hint="eastAsia" w:ascii="仿宋" w:hAnsi="仿宋" w:eastAsia="仿宋"/>
          <w:kern w:val="0"/>
          <w:sz w:val="30"/>
          <w:szCs w:val="30"/>
          <w:lang w:val="en-US" w:eastAsia="zh-CN"/>
        </w:rPr>
        <w:t>0.2</w:t>
      </w:r>
      <w:r>
        <w:rPr>
          <w:rFonts w:hint="eastAsia" w:ascii="仿宋" w:hAnsi="仿宋" w:eastAsia="仿宋"/>
          <w:kern w:val="0"/>
          <w:sz w:val="30"/>
          <w:szCs w:val="30"/>
        </w:rPr>
        <w:t>%</w:t>
      </w:r>
      <w:r>
        <w:rPr>
          <w:rFonts w:hint="eastAsia" w:ascii="仿宋" w:hAnsi="仿宋" w:eastAsia="仿宋"/>
          <w:kern w:val="0"/>
          <w:sz w:val="30"/>
          <w:szCs w:val="30"/>
          <w:lang w:eastAsia="zh-CN"/>
        </w:rPr>
        <w:t>。</w:t>
      </w:r>
      <w:r>
        <w:rPr>
          <w:rFonts w:hint="eastAsia" w:ascii="仿宋" w:hAnsi="仿宋" w:eastAsia="仿宋" w:cs="仿宋_GB2312"/>
          <w:kern w:val="0"/>
          <w:sz w:val="30"/>
          <w:szCs w:val="30"/>
        </w:rPr>
        <w:t>组织对“</w:t>
      </w:r>
      <w:r>
        <w:rPr>
          <w:rFonts w:ascii="仿宋" w:hAnsi="仿宋" w:eastAsia="仿宋" w:cs="仿宋_GB2312"/>
          <w:kern w:val="0"/>
          <w:sz w:val="30"/>
          <w:szCs w:val="30"/>
        </w:rPr>
        <w:t>XXX</w:t>
      </w:r>
      <w:r>
        <w:rPr>
          <w:rFonts w:hint="eastAsia" w:ascii="仿宋" w:hAnsi="仿宋" w:eastAsia="仿宋" w:cs="仿宋_GB2312"/>
          <w:kern w:val="0"/>
          <w:sz w:val="30"/>
          <w:szCs w:val="30"/>
        </w:rPr>
        <w:t>”、“</w:t>
      </w:r>
      <w:r>
        <w:rPr>
          <w:rFonts w:ascii="仿宋" w:hAnsi="仿宋" w:eastAsia="仿宋" w:cs="仿宋_GB2312"/>
          <w:kern w:val="0"/>
          <w:sz w:val="30"/>
          <w:szCs w:val="30"/>
        </w:rPr>
        <w:t>XXX</w:t>
      </w:r>
      <w:r>
        <w:rPr>
          <w:rFonts w:hint="eastAsia" w:ascii="仿宋" w:hAnsi="仿宋" w:eastAsia="仿宋" w:cs="仿宋_GB2312"/>
          <w:kern w:val="0"/>
          <w:sz w:val="30"/>
          <w:szCs w:val="30"/>
        </w:rPr>
        <w:t>”等  个部门（单位）开展整体支出绩效评价试点，涉及一般公共预算支出  万元，政府性基金预算支出  万元。其中，对“</w:t>
      </w:r>
      <w:r>
        <w:rPr>
          <w:rFonts w:ascii="仿宋" w:hAnsi="仿宋" w:eastAsia="仿宋" w:cs="仿宋_GB2312"/>
          <w:kern w:val="0"/>
          <w:sz w:val="30"/>
          <w:szCs w:val="30"/>
        </w:rPr>
        <w:t>XXX</w:t>
      </w:r>
      <w:r>
        <w:rPr>
          <w:rFonts w:hint="eastAsia" w:ascii="仿宋" w:hAnsi="仿宋" w:eastAsia="仿宋" w:cs="仿宋_GB2312"/>
          <w:kern w:val="0"/>
          <w:sz w:val="30"/>
          <w:szCs w:val="30"/>
        </w:rPr>
        <w:t>”、“</w:t>
      </w:r>
      <w:r>
        <w:rPr>
          <w:rFonts w:ascii="仿宋" w:hAnsi="仿宋" w:eastAsia="仿宋" w:cs="仿宋_GB2312"/>
          <w:kern w:val="0"/>
          <w:sz w:val="30"/>
          <w:szCs w:val="30"/>
        </w:rPr>
        <w:t>XXX</w:t>
      </w:r>
      <w:r>
        <w:rPr>
          <w:rFonts w:hint="eastAsia" w:ascii="仿宋" w:hAnsi="仿宋" w:eastAsia="仿宋" w:cs="仿宋_GB2312"/>
          <w:kern w:val="0"/>
          <w:sz w:val="30"/>
          <w:szCs w:val="30"/>
        </w:rPr>
        <w:t>”等部门（单位）整体支出分别委托“</w:t>
      </w:r>
      <w:r>
        <w:rPr>
          <w:rFonts w:ascii="仿宋" w:hAnsi="仿宋" w:eastAsia="仿宋" w:cs="仿宋_GB2312"/>
          <w:kern w:val="0"/>
          <w:sz w:val="30"/>
          <w:szCs w:val="30"/>
        </w:rPr>
        <w:t>XXX</w:t>
      </w:r>
      <w:r>
        <w:rPr>
          <w:rFonts w:hint="eastAsia" w:ascii="仿宋" w:hAnsi="仿宋" w:eastAsia="仿宋" w:cs="仿宋_GB2312"/>
          <w:kern w:val="0"/>
          <w:sz w:val="30"/>
          <w:szCs w:val="30"/>
        </w:rPr>
        <w:t>”、“</w:t>
      </w:r>
      <w:r>
        <w:rPr>
          <w:rFonts w:ascii="仿宋" w:hAnsi="仿宋" w:eastAsia="仿宋" w:cs="仿宋_GB2312"/>
          <w:kern w:val="0"/>
          <w:sz w:val="30"/>
          <w:szCs w:val="30"/>
        </w:rPr>
        <w:t>XXX</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。从评价情况来看，……（请对整体支出绩效评价情况进行简单说明）。</w:t>
      </w:r>
    </w:p>
    <w:p>
      <w:pPr>
        <w:keepNext w:val="0"/>
        <w:keepLines w:val="0"/>
        <w:pageBreakBefore w:val="0"/>
        <w:kinsoku/>
        <w:wordWrap/>
        <w:overflowPunct/>
        <w:topLinePunct w:val="0"/>
        <w:autoSpaceDE w:val="0"/>
        <w:autoSpaceDN w:val="0"/>
        <w:bidi w:val="0"/>
        <w:adjustRightInd w:val="0"/>
        <w:snapToGrid/>
        <w:spacing w:line="580" w:lineRule="exact"/>
        <w:ind w:firstLine="585"/>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pPr>
        <w:keepNext w:val="0"/>
        <w:keepLines w:val="0"/>
        <w:pageBreakBefore w:val="0"/>
        <w:kinsoku/>
        <w:wordWrap/>
        <w:overflowPunct/>
        <w:topLinePunct w:val="0"/>
        <w:autoSpaceDE w:val="0"/>
        <w:autoSpaceDN w:val="0"/>
        <w:bidi w:val="0"/>
        <w:adjustRightInd w:val="0"/>
        <w:snapToGrid/>
        <w:spacing w:line="580" w:lineRule="exact"/>
        <w:ind w:firstLine="585"/>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我部门今年在部门决算中反映</w:t>
      </w:r>
      <w:r>
        <w:rPr>
          <w:rFonts w:hint="eastAsia" w:ascii="仿宋" w:hAnsi="仿宋" w:eastAsia="仿宋" w:cs="仿宋_GB2312"/>
          <w:kern w:val="0"/>
          <w:sz w:val="30"/>
          <w:szCs w:val="30"/>
          <w:lang w:val="en-US" w:eastAsia="zh-CN"/>
        </w:rPr>
        <w:t>2019年</w:t>
      </w:r>
      <w:r>
        <w:rPr>
          <w:rFonts w:hint="eastAsia" w:ascii="仿宋" w:hAnsi="仿宋" w:eastAsia="仿宋" w:cs="仿宋_GB2312"/>
          <w:kern w:val="0"/>
          <w:sz w:val="30"/>
          <w:szCs w:val="30"/>
          <w:lang w:eastAsia="zh-CN"/>
        </w:rPr>
        <w:t>招商引资经费</w:t>
      </w:r>
      <w:r>
        <w:rPr>
          <w:rFonts w:hint="eastAsia" w:ascii="仿宋" w:hAnsi="仿宋" w:eastAsia="仿宋" w:cs="仿宋_GB2312"/>
          <w:kern w:val="0"/>
          <w:sz w:val="30"/>
          <w:szCs w:val="30"/>
        </w:rPr>
        <w:t>项目绩效自评结果。</w:t>
      </w:r>
    </w:p>
    <w:p>
      <w:pPr>
        <w:keepNext w:val="0"/>
        <w:keepLines w:val="0"/>
        <w:pageBreakBefore w:val="0"/>
        <w:kinsoku/>
        <w:wordWrap/>
        <w:overflowPunct/>
        <w:topLinePunct w:val="0"/>
        <w:autoSpaceDE w:val="0"/>
        <w:autoSpaceDN w:val="0"/>
        <w:bidi w:val="0"/>
        <w:adjustRightInd w:val="0"/>
        <w:snapToGrid/>
        <w:spacing w:line="580" w:lineRule="exact"/>
        <w:ind w:firstLine="585"/>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2019年</w:t>
      </w:r>
      <w:r>
        <w:rPr>
          <w:rFonts w:hint="eastAsia" w:ascii="仿宋" w:hAnsi="仿宋" w:eastAsia="仿宋" w:cs="仿宋_GB2312"/>
          <w:kern w:val="0"/>
          <w:sz w:val="30"/>
          <w:szCs w:val="30"/>
          <w:lang w:eastAsia="zh-CN"/>
        </w:rPr>
        <w:t>招商引资经费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2019年</w:t>
      </w:r>
      <w:r>
        <w:rPr>
          <w:rFonts w:hint="eastAsia" w:ascii="仿宋" w:hAnsi="仿宋" w:eastAsia="仿宋" w:cs="仿宋_GB2312"/>
          <w:kern w:val="0"/>
          <w:sz w:val="30"/>
          <w:szCs w:val="30"/>
          <w:lang w:eastAsia="zh-CN"/>
        </w:rPr>
        <w:t>招商引资经费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引进净资产5000万以上规模企业</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增加就业岗位</w:t>
      </w:r>
      <w:bookmarkStart w:id="0" w:name="_GoBack"/>
      <w:bookmarkEnd w:id="0"/>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eastAsia="zh-CN"/>
        </w:rPr>
        <w:t>无</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无</w:t>
      </w:r>
      <w:r>
        <w:rPr>
          <w:rFonts w:hint="eastAsia" w:ascii="仿宋" w:hAnsi="仿宋" w:eastAsia="仿宋" w:cs="仿宋_GB2312"/>
          <w:kern w:val="0"/>
          <w:sz w:val="30"/>
          <w:szCs w:val="30"/>
        </w:rPr>
        <w:t>。下一步改进措施：一是</w:t>
      </w:r>
      <w:r>
        <w:rPr>
          <w:rFonts w:hint="eastAsia" w:ascii="仿宋" w:hAnsi="仿宋" w:eastAsia="仿宋" w:cs="仿宋_GB2312"/>
          <w:kern w:val="0"/>
          <w:sz w:val="30"/>
          <w:szCs w:val="30"/>
          <w:lang w:eastAsia="zh-CN"/>
        </w:rPr>
        <w:t>无</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无</w:t>
      </w:r>
      <w:r>
        <w:rPr>
          <w:rFonts w:hint="eastAsia" w:ascii="仿宋" w:hAnsi="仿宋" w:eastAsia="仿宋" w:cs="仿宋_GB2312"/>
          <w:kern w:val="0"/>
          <w:sz w:val="30"/>
          <w:szCs w:val="30"/>
        </w:rPr>
        <w:t>。</w:t>
      </w:r>
    </w:p>
    <w:p>
      <w:pPr>
        <w:keepNext w:val="0"/>
        <w:keepLines w:val="0"/>
        <w:pageBreakBefore w:val="0"/>
        <w:kinsoku/>
        <w:wordWrap/>
        <w:overflowPunct/>
        <w:topLinePunct w:val="0"/>
        <w:autoSpaceDE w:val="0"/>
        <w:autoSpaceDN w:val="0"/>
        <w:bidi w:val="0"/>
        <w:adjustRightInd w:val="0"/>
        <w:snapToGrid/>
        <w:spacing w:line="58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ascii="仿宋" w:hAnsi="仿宋" w:eastAsia="仿宋" w:cs="仿宋_GB2312"/>
          <w:kern w:val="0"/>
          <w:sz w:val="30"/>
          <w:szCs w:val="30"/>
        </w:rPr>
        <w:t>XXX</w:t>
      </w:r>
      <w:r>
        <w:rPr>
          <w:rFonts w:hint="eastAsia" w:ascii="仿宋" w:hAnsi="仿宋" w:eastAsia="仿宋" w:cs="仿宋_GB2312"/>
          <w:kern w:val="0"/>
          <w:sz w:val="30"/>
          <w:szCs w:val="30"/>
        </w:rPr>
        <w:t>项目绩效自评综述：……。</w:t>
      </w:r>
    </w:p>
    <w:p>
      <w:pPr>
        <w:keepNext w:val="0"/>
        <w:keepLines w:val="0"/>
        <w:pageBreakBefore w:val="0"/>
        <w:kinsoku/>
        <w:wordWrap/>
        <w:overflowPunct/>
        <w:topLinePunct w:val="0"/>
        <w:autoSpaceDE w:val="0"/>
        <w:autoSpaceDN w:val="0"/>
        <w:bidi w:val="0"/>
        <w:adjustRightInd w:val="0"/>
        <w:snapToGrid/>
        <w:spacing w:line="580" w:lineRule="exact"/>
        <w:jc w:val="left"/>
        <w:textAlignment w:val="auto"/>
        <w:rPr>
          <w:rFonts w:ascii="仿宋" w:hAnsi="仿宋" w:eastAsia="仿宋" w:cs="仿宋_GB2312"/>
          <w:kern w:val="0"/>
          <w:sz w:val="30"/>
          <w:szCs w:val="30"/>
        </w:rPr>
      </w:pPr>
      <w:r>
        <w:rPr>
          <w:rFonts w:hint="eastAsia" w:ascii="仿宋" w:hAnsi="仿宋" w:eastAsia="仿宋" w:cs="仿宋_GB2312"/>
          <w:kern w:val="0"/>
          <w:sz w:val="30"/>
          <w:szCs w:val="30"/>
        </w:rPr>
        <w:t xml:space="preserve">    附：《项目支出绩效自评表》。</w:t>
      </w:r>
    </w:p>
    <w:p>
      <w:pPr>
        <w:keepNext w:val="0"/>
        <w:keepLines w:val="0"/>
        <w:pageBreakBefore w:val="0"/>
        <w:kinsoku/>
        <w:wordWrap/>
        <w:overflowPunct/>
        <w:topLinePunct w:val="0"/>
        <w:bidi w:val="0"/>
        <w:snapToGrid/>
        <w:spacing w:line="580" w:lineRule="exact"/>
        <w:textAlignment w:val="auto"/>
        <w:rPr>
          <w:rFonts w:hint="eastAsia"/>
        </w:rPr>
      </w:pPr>
    </w:p>
    <w:p>
      <w:pPr>
        <w:keepNext w:val="0"/>
        <w:keepLines w:val="0"/>
        <w:pageBreakBefore w:val="0"/>
        <w:widowControl/>
        <w:kinsoku/>
        <w:wordWrap/>
        <w:overflowPunct/>
        <w:topLinePunct w:val="0"/>
        <w:bidi w:val="0"/>
        <w:snapToGrid/>
        <w:spacing w:line="580" w:lineRule="exact"/>
        <w:ind w:firstLine="640"/>
        <w:jc w:val="center"/>
        <w:textAlignment w:val="auto"/>
        <w:rPr>
          <w:rFonts w:hint="eastAsia" w:ascii="宋体" w:hAnsi="宋体"/>
          <w:b/>
          <w:sz w:val="32"/>
          <w:szCs w:val="32"/>
        </w:rPr>
      </w:pPr>
      <w:r>
        <w:rPr>
          <w:rFonts w:hint="eastAsia" w:ascii="宋体" w:hAnsi="宋体"/>
          <w:b/>
          <w:sz w:val="32"/>
          <w:szCs w:val="32"/>
        </w:rPr>
        <w:t>第四部分  名词解释</w:t>
      </w:r>
    </w:p>
    <w:p>
      <w:pPr>
        <w:keepNext w:val="0"/>
        <w:keepLines w:val="0"/>
        <w:pageBreakBefore w:val="0"/>
        <w:widowControl/>
        <w:kinsoku/>
        <w:wordWrap/>
        <w:overflowPunct/>
        <w:topLinePunct w:val="0"/>
        <w:bidi w:val="0"/>
        <w:snapToGrid/>
        <w:spacing w:line="580" w:lineRule="exact"/>
        <w:jc w:val="left"/>
        <w:textAlignment w:val="auto"/>
        <w:rPr>
          <w:rFonts w:hint="eastAsia" w:ascii="仿宋" w:hAnsi="仿宋" w:eastAsia="仿宋"/>
          <w:kern w:val="0"/>
          <w:sz w:val="30"/>
          <w:szCs w:val="30"/>
        </w:rPr>
      </w:pP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default" w:ascii="仿宋" w:hAnsi="仿宋" w:eastAsia="仿宋"/>
          <w:kern w:val="0"/>
          <w:sz w:val="30"/>
          <w:szCs w:val="30"/>
          <w:lang w:val="en-US" w:eastAsia="zh-CN"/>
        </w:rPr>
        <w:t>一、财政拨款收入：指单位本年度从本级财政部门取得的财政拨款，包括一般公共预算财政拨款和政府性基金预算财政拨款。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default" w:ascii="仿宋" w:hAnsi="仿宋" w:eastAsia="仿宋"/>
          <w:kern w:val="0"/>
          <w:sz w:val="30"/>
          <w:szCs w:val="30"/>
          <w:lang w:val="en-US" w:eastAsia="zh-CN"/>
        </w:rPr>
        <w:t>二、上级补助收入：指事业单位从主管部门和上级单位取得的非财政补助收入。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default" w:ascii="仿宋" w:hAnsi="仿宋" w:eastAsia="仿宋"/>
          <w:kern w:val="0"/>
          <w:sz w:val="30"/>
          <w:szCs w:val="30"/>
          <w:lang w:val="en-US" w:eastAsia="zh-CN"/>
        </w:rPr>
        <w:t>三、事业收入：指事业单位开展专业业务活动及其辅助活动取得的收入；事业单位收到的财政专户实际核拨的教育收费等资金在此反映。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default" w:ascii="仿宋" w:hAnsi="仿宋" w:eastAsia="仿宋"/>
          <w:kern w:val="0"/>
          <w:sz w:val="30"/>
          <w:szCs w:val="30"/>
          <w:lang w:val="en-US" w:eastAsia="zh-CN"/>
        </w:rPr>
        <w:t>四、其他收入：指单位取得的除上述“财政拨款收入”、“事业收入”、“经营收入”、“附属单位缴款”等以外的各项收入。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五</w:t>
      </w:r>
      <w:r>
        <w:rPr>
          <w:rFonts w:hint="default" w:ascii="仿宋" w:hAnsi="仿宋" w:eastAsia="仿宋"/>
          <w:kern w:val="0"/>
          <w:sz w:val="30"/>
          <w:szCs w:val="30"/>
          <w:lang w:val="en-US" w:eastAsia="zh-CN"/>
        </w:rPr>
        <w:t>、年初结转和结余：指单位上年结转本年使用的基本支出结转、项目支出结转和结余和经营结余。</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六</w:t>
      </w:r>
      <w:r>
        <w:rPr>
          <w:rFonts w:hint="default" w:ascii="仿宋" w:hAnsi="仿宋" w:eastAsia="仿宋"/>
          <w:kern w:val="0"/>
          <w:sz w:val="30"/>
          <w:szCs w:val="30"/>
          <w:lang w:val="en-US" w:eastAsia="zh-CN"/>
        </w:rPr>
        <w:t>、年末结转和结余资金：指单位结转下年的基本支出结转、项目支出结转和结余和经营结余。</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七</w:t>
      </w:r>
      <w:r>
        <w:rPr>
          <w:rFonts w:hint="default" w:ascii="仿宋" w:hAnsi="仿宋" w:eastAsia="仿宋"/>
          <w:kern w:val="0"/>
          <w:sz w:val="30"/>
          <w:szCs w:val="30"/>
          <w:lang w:val="en-US" w:eastAsia="zh-CN"/>
        </w:rPr>
        <w:t>、基本支出：指为保障机构正常运转、完成日常工作任务而发生的人员支出和公用支出。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八</w:t>
      </w:r>
      <w:r>
        <w:rPr>
          <w:rFonts w:hint="default" w:ascii="仿宋" w:hAnsi="仿宋" w:eastAsia="仿宋"/>
          <w:kern w:val="0"/>
          <w:sz w:val="30"/>
          <w:szCs w:val="30"/>
          <w:lang w:val="en-US" w:eastAsia="zh-CN"/>
        </w:rPr>
        <w:t>、项目支出：指在基本支出之外为完成特定的行政任务或事业发展目标所发生的支出。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九</w:t>
      </w:r>
      <w:r>
        <w:rPr>
          <w:rFonts w:hint="default" w:ascii="仿宋" w:hAnsi="仿宋" w:eastAsia="仿宋"/>
          <w:kern w:val="0"/>
          <w:sz w:val="30"/>
          <w:szCs w:val="30"/>
          <w:lang w:val="en-US" w:eastAsia="zh-CN"/>
        </w:rPr>
        <w:t>、“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val="en-US" w:eastAsia="zh-CN"/>
        </w:rPr>
        <w:t>十</w:t>
      </w:r>
      <w:r>
        <w:rPr>
          <w:rFonts w:hint="default" w:ascii="仿宋" w:hAnsi="仿宋" w:eastAsia="仿宋"/>
          <w:kern w:val="0"/>
          <w:sz w:val="30"/>
          <w:szCs w:val="30"/>
          <w:lang w:val="en-US" w:eastAsia="zh-CN"/>
        </w:rPr>
        <w:t>、机关运行经费：指为保障行政单位（含参照公务员法管理的事业单位）运行用于购买货物和服务的各项资金，包括办公费、印刷费、差旅费、会议费、日常维修费、专用材料及办公用房水电费、物业管理费、公务用车运行维护费等。</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BC120C"/>
    <w:multiLevelType w:val="singleLevel"/>
    <w:tmpl w:val="D8BC12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5018B"/>
    <w:rsid w:val="09B01C72"/>
    <w:rsid w:val="0CB16C25"/>
    <w:rsid w:val="12C25289"/>
    <w:rsid w:val="1B0C2C23"/>
    <w:rsid w:val="3FA821C1"/>
    <w:rsid w:val="5DDB48EB"/>
    <w:rsid w:val="61A12946"/>
    <w:rsid w:val="62FC2F44"/>
    <w:rsid w:val="6E85018B"/>
    <w:rsid w:val="728F241F"/>
    <w:rsid w:val="7F2E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customStyle="1" w:styleId="5">
    <w:name w:val="正文文本2"/>
    <w:basedOn w:val="1"/>
    <w:qFormat/>
    <w:uiPriority w:val="0"/>
    <w:pPr>
      <w:shd w:val="clear" w:color="auto" w:fill="FFFFFF"/>
      <w:spacing w:line="576" w:lineRule="exact"/>
      <w:jc w:val="distribute"/>
    </w:pPr>
    <w:rPr>
      <w:rFonts w:ascii="MingLiU" w:hAnsi="MingLiU" w:eastAsia="MingLiU" w:cs="MingLiU"/>
      <w:spacing w:val="20"/>
      <w:sz w:val="29"/>
      <w:szCs w:val="29"/>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2020-08-17T02:12:00Z</dcterms:created>
  <dc:creator>biubiubiu~</dc:creator>
  <cp:lastModifiedBy>炯炯</cp:lastModifiedBy>
  <cp:lastPrinted>2020-09-24T06:52:00Z</cp:lastPrinted>
  <dcterms:modified xsi:type="dcterms:W3CDTF">2020-10-10T02:25:29Z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