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30" w:rsidRDefault="008C4D77" w:rsidP="00CD68F5">
      <w:pPr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  <w:hyperlink r:id="rId7" w:tgtFrame="_blank" w:history="1">
        <w:r w:rsidR="00CD68F5" w:rsidRPr="00CD68F5">
          <w:rPr>
            <w:rStyle w:val="a7"/>
            <w:rFonts w:ascii="黑体" w:eastAsia="黑体" w:hAnsi="黑体" w:hint="eastAsia"/>
            <w:b/>
            <w:color w:val="000000"/>
            <w:sz w:val="36"/>
            <w:szCs w:val="36"/>
            <w:u w:val="none"/>
            <w:shd w:val="clear" w:color="auto" w:fill="FFFFFF"/>
          </w:rPr>
          <w:t>信丰县</w:t>
        </w:r>
        <w:r w:rsidR="00125D12">
          <w:rPr>
            <w:rStyle w:val="a7"/>
            <w:rFonts w:ascii="黑体" w:eastAsia="黑体" w:hAnsi="黑体" w:hint="eastAsia"/>
            <w:b/>
            <w:color w:val="000000"/>
            <w:sz w:val="36"/>
            <w:szCs w:val="36"/>
            <w:u w:val="none"/>
            <w:shd w:val="clear" w:color="auto" w:fill="FFFFFF"/>
          </w:rPr>
          <w:t>2019</w:t>
        </w:r>
        <w:r w:rsidR="00CD68F5" w:rsidRPr="00CD68F5">
          <w:rPr>
            <w:rStyle w:val="a7"/>
            <w:rFonts w:ascii="黑体" w:eastAsia="黑体" w:hAnsi="黑体" w:hint="eastAsia"/>
            <w:b/>
            <w:color w:val="000000"/>
            <w:sz w:val="36"/>
            <w:szCs w:val="36"/>
            <w:u w:val="none"/>
            <w:shd w:val="clear" w:color="auto" w:fill="FFFFFF"/>
          </w:rPr>
          <w:t>年预算绩效管理工作开展情况说明</w:t>
        </w:r>
      </w:hyperlink>
    </w:p>
    <w:p w:rsidR="004C0D14" w:rsidRPr="00CD68F5" w:rsidRDefault="004C0D14" w:rsidP="00CD68F5">
      <w:pPr>
        <w:spacing w:line="540" w:lineRule="exact"/>
        <w:jc w:val="center"/>
        <w:rPr>
          <w:rFonts w:ascii="黑体" w:eastAsia="黑体" w:hAnsi="黑体"/>
          <w:b/>
          <w:sz w:val="36"/>
          <w:szCs w:val="36"/>
        </w:rPr>
      </w:pPr>
    </w:p>
    <w:p w:rsidR="00A22930" w:rsidRPr="00384B02" w:rsidRDefault="00A22930" w:rsidP="00A83408">
      <w:pPr>
        <w:pStyle w:val="a6"/>
        <w:numPr>
          <w:ilvl w:val="0"/>
          <w:numId w:val="2"/>
        </w:numPr>
        <w:spacing w:line="540" w:lineRule="exact"/>
        <w:ind w:firstLineChars="0"/>
        <w:rPr>
          <w:rFonts w:ascii="仿宋_GB2312" w:eastAsia="仿宋_GB2312"/>
          <w:b/>
          <w:sz w:val="30"/>
          <w:szCs w:val="30"/>
        </w:rPr>
      </w:pPr>
      <w:r w:rsidRPr="00384B02">
        <w:rPr>
          <w:rFonts w:ascii="仿宋_GB2312" w:eastAsia="仿宋_GB2312" w:hint="eastAsia"/>
          <w:b/>
          <w:sz w:val="30"/>
          <w:szCs w:val="30"/>
        </w:rPr>
        <w:t>工作开展基本情况</w:t>
      </w:r>
    </w:p>
    <w:p w:rsidR="00A22930" w:rsidRPr="00890CD5" w:rsidRDefault="00A22930" w:rsidP="00734942">
      <w:pPr>
        <w:spacing w:line="54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E14034">
        <w:rPr>
          <w:rFonts w:ascii="仿宋_GB2312" w:eastAsia="仿宋_GB2312" w:hint="eastAsia"/>
          <w:sz w:val="30"/>
          <w:szCs w:val="30"/>
        </w:rPr>
        <w:t>（一）</w:t>
      </w:r>
      <w:r>
        <w:rPr>
          <w:rFonts w:ascii="仿宋_GB2312" w:eastAsia="仿宋_GB2312" w:hint="eastAsia"/>
          <w:sz w:val="30"/>
          <w:szCs w:val="30"/>
        </w:rPr>
        <w:t>建立健全</w:t>
      </w:r>
      <w:r w:rsidRPr="00890CD5">
        <w:rPr>
          <w:rFonts w:ascii="仿宋_GB2312" w:eastAsia="仿宋_GB2312" w:hint="eastAsia"/>
          <w:sz w:val="30"/>
          <w:szCs w:val="30"/>
        </w:rPr>
        <w:t>组织机构。为加强财政专项资金管理，提高资金使用效率，我县成立了预算绩效管理中心，编制数</w:t>
      </w:r>
      <w:r>
        <w:rPr>
          <w:rFonts w:ascii="仿宋_GB2312" w:eastAsia="仿宋_GB2312"/>
          <w:sz w:val="30"/>
          <w:szCs w:val="30"/>
        </w:rPr>
        <w:t>5</w:t>
      </w:r>
      <w:r w:rsidRPr="00890CD5">
        <w:rPr>
          <w:rFonts w:ascii="仿宋_GB2312" w:eastAsia="仿宋_GB2312" w:hint="eastAsia"/>
          <w:sz w:val="30"/>
          <w:szCs w:val="30"/>
        </w:rPr>
        <w:t>人，实有人数</w:t>
      </w:r>
      <w:r>
        <w:rPr>
          <w:rFonts w:ascii="仿宋_GB2312" w:eastAsia="仿宋_GB2312"/>
          <w:sz w:val="30"/>
          <w:szCs w:val="30"/>
        </w:rPr>
        <w:t>4</w:t>
      </w:r>
      <w:r w:rsidRPr="00890CD5">
        <w:rPr>
          <w:rFonts w:ascii="仿宋_GB2312" w:eastAsia="仿宋_GB2312" w:hint="eastAsia"/>
          <w:sz w:val="30"/>
          <w:szCs w:val="30"/>
        </w:rPr>
        <w:t>名。</w:t>
      </w:r>
    </w:p>
    <w:p w:rsidR="00A22930" w:rsidRPr="00E14034" w:rsidRDefault="00A22930" w:rsidP="00734942">
      <w:pPr>
        <w:spacing w:line="54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E14034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二</w:t>
      </w:r>
      <w:r w:rsidRPr="00E14034">
        <w:rPr>
          <w:rFonts w:ascii="仿宋_GB2312" w:eastAsia="仿宋_GB2312" w:hint="eastAsia"/>
          <w:sz w:val="30"/>
          <w:szCs w:val="30"/>
        </w:rPr>
        <w:t>）完善制度体系建设。相继出台了《信丰县预算绩效管理实施办法》、《</w:t>
      </w:r>
      <w:r w:rsidRPr="003F6F2B">
        <w:rPr>
          <w:rFonts w:ascii="仿宋_GB2312" w:eastAsia="仿宋_GB2312" w:hint="eastAsia"/>
          <w:sz w:val="30"/>
          <w:szCs w:val="30"/>
        </w:rPr>
        <w:t>全面推进预算绩效管理实施意见》，</w:t>
      </w:r>
      <w:r w:rsidRPr="00E14034">
        <w:rPr>
          <w:rFonts w:ascii="仿宋_GB2312" w:eastAsia="仿宋_GB2312" w:hint="eastAsia"/>
          <w:sz w:val="30"/>
          <w:szCs w:val="30"/>
        </w:rPr>
        <w:t>后期还将结合工作中存在的问题建立相应的实施细则，为开展项目评价工作、提高绩效管理水平提供制度保障。</w:t>
      </w:r>
    </w:p>
    <w:p w:rsidR="00A22930" w:rsidRPr="00E14034" w:rsidRDefault="00A22930" w:rsidP="00734942">
      <w:pPr>
        <w:spacing w:line="540" w:lineRule="exact"/>
        <w:ind w:firstLineChars="150" w:firstLine="4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>
        <w:rPr>
          <w:rFonts w:ascii="仿宋_GB2312" w:eastAsia="仿宋_GB2312"/>
          <w:sz w:val="30"/>
          <w:szCs w:val="30"/>
        </w:rPr>
        <w:t>2019</w:t>
      </w:r>
      <w:r>
        <w:rPr>
          <w:rFonts w:ascii="仿宋_GB2312" w:eastAsia="仿宋_GB2312" w:hint="eastAsia"/>
          <w:sz w:val="30"/>
          <w:szCs w:val="30"/>
        </w:rPr>
        <w:t>年我县预算部门数量</w:t>
      </w:r>
      <w:r>
        <w:rPr>
          <w:rFonts w:ascii="仿宋_GB2312" w:eastAsia="仿宋_GB2312"/>
          <w:sz w:val="30"/>
          <w:szCs w:val="30"/>
        </w:rPr>
        <w:t>72</w:t>
      </w:r>
      <w:r>
        <w:rPr>
          <w:rFonts w:ascii="仿宋_GB2312" w:eastAsia="仿宋_GB2312" w:hint="eastAsia"/>
          <w:sz w:val="30"/>
          <w:szCs w:val="30"/>
        </w:rPr>
        <w:t>个，涉及有项目资金的</w:t>
      </w:r>
      <w:r>
        <w:rPr>
          <w:rFonts w:ascii="仿宋_GB2312" w:eastAsia="仿宋_GB2312"/>
          <w:sz w:val="30"/>
          <w:szCs w:val="30"/>
        </w:rPr>
        <w:t>63</w:t>
      </w:r>
      <w:r>
        <w:rPr>
          <w:rFonts w:ascii="仿宋_GB2312" w:eastAsia="仿宋_GB2312" w:hint="eastAsia"/>
          <w:sz w:val="30"/>
          <w:szCs w:val="30"/>
        </w:rPr>
        <w:t>个部门都进行了绩效目标申报，</w:t>
      </w:r>
      <w:r>
        <w:rPr>
          <w:rFonts w:ascii="仿宋_GB2312" w:eastAsia="仿宋_GB2312"/>
          <w:sz w:val="30"/>
          <w:szCs w:val="30"/>
        </w:rPr>
        <w:t>2019</w:t>
      </w:r>
      <w:r>
        <w:rPr>
          <w:rFonts w:ascii="仿宋_GB2312" w:eastAsia="仿宋_GB2312" w:hint="eastAsia"/>
          <w:sz w:val="30"/>
          <w:szCs w:val="30"/>
        </w:rPr>
        <w:t>年县级项目支持</w:t>
      </w:r>
      <w:r>
        <w:rPr>
          <w:rFonts w:ascii="仿宋_GB2312" w:eastAsia="仿宋_GB2312"/>
          <w:sz w:val="30"/>
          <w:szCs w:val="30"/>
        </w:rPr>
        <w:t>4.9</w:t>
      </w:r>
      <w:r>
        <w:rPr>
          <w:rFonts w:ascii="仿宋_GB2312" w:eastAsia="仿宋_GB2312" w:hint="eastAsia"/>
          <w:sz w:val="30"/>
          <w:szCs w:val="30"/>
        </w:rPr>
        <w:t>亿元，</w:t>
      </w:r>
      <w:r>
        <w:rPr>
          <w:rFonts w:ascii="仿宋_GB2312" w:eastAsia="仿宋_GB2312"/>
          <w:sz w:val="30"/>
          <w:szCs w:val="30"/>
        </w:rPr>
        <w:t>63</w:t>
      </w:r>
      <w:r>
        <w:rPr>
          <w:rFonts w:ascii="仿宋_GB2312" w:eastAsia="仿宋_GB2312" w:hint="eastAsia"/>
          <w:sz w:val="30"/>
          <w:szCs w:val="30"/>
        </w:rPr>
        <w:t>个项目单位开展了自</w:t>
      </w:r>
      <w:r w:rsidRPr="00E14034">
        <w:rPr>
          <w:rFonts w:ascii="仿宋_GB2312" w:eastAsia="仿宋_GB2312" w:hint="eastAsia"/>
          <w:sz w:val="30"/>
          <w:szCs w:val="30"/>
        </w:rPr>
        <w:t>评价</w:t>
      </w:r>
      <w:r>
        <w:rPr>
          <w:rFonts w:ascii="仿宋_GB2312" w:eastAsia="仿宋_GB2312" w:hint="eastAsia"/>
          <w:sz w:val="30"/>
          <w:szCs w:val="30"/>
        </w:rPr>
        <w:t>，</w:t>
      </w:r>
      <w:r w:rsidRPr="00E14034">
        <w:rPr>
          <w:rFonts w:ascii="仿宋_GB2312" w:eastAsia="仿宋_GB2312" w:hint="eastAsia"/>
          <w:sz w:val="30"/>
          <w:szCs w:val="30"/>
        </w:rPr>
        <w:t>项目重点选择社会关注度高、社会影响较大的民生工程和重点工</w:t>
      </w:r>
      <w:r>
        <w:rPr>
          <w:rFonts w:ascii="仿宋_GB2312" w:eastAsia="仿宋_GB2312" w:hint="eastAsia"/>
          <w:sz w:val="30"/>
          <w:szCs w:val="30"/>
        </w:rPr>
        <w:t>程，涉及资金</w:t>
      </w:r>
      <w:r>
        <w:rPr>
          <w:rFonts w:ascii="仿宋_GB2312" w:eastAsia="仿宋_GB2312"/>
          <w:sz w:val="30"/>
          <w:szCs w:val="30"/>
        </w:rPr>
        <w:t>2.24</w:t>
      </w:r>
      <w:r>
        <w:rPr>
          <w:rFonts w:ascii="仿宋_GB2312" w:eastAsia="仿宋_GB2312" w:hint="eastAsia"/>
          <w:sz w:val="30"/>
          <w:szCs w:val="30"/>
        </w:rPr>
        <w:t>亿元，约占全年县级项目支出的</w:t>
      </w:r>
      <w:r>
        <w:rPr>
          <w:rFonts w:ascii="仿宋_GB2312" w:eastAsia="仿宋_GB2312"/>
          <w:sz w:val="30"/>
          <w:szCs w:val="30"/>
        </w:rPr>
        <w:t>50%</w:t>
      </w:r>
      <w:r>
        <w:rPr>
          <w:rFonts w:ascii="仿宋_GB2312" w:eastAsia="仿宋_GB2312" w:hint="eastAsia"/>
          <w:sz w:val="30"/>
          <w:szCs w:val="30"/>
        </w:rPr>
        <w:t>，其中重点民生资金</w:t>
      </w:r>
      <w:r>
        <w:rPr>
          <w:rFonts w:ascii="仿宋_GB2312" w:eastAsia="仿宋_GB2312"/>
          <w:sz w:val="30"/>
          <w:szCs w:val="30"/>
        </w:rPr>
        <w:t>1.1</w:t>
      </w:r>
      <w:r>
        <w:rPr>
          <w:rFonts w:ascii="仿宋_GB2312" w:eastAsia="仿宋_GB2312" w:hint="eastAsia"/>
          <w:sz w:val="30"/>
          <w:szCs w:val="30"/>
        </w:rPr>
        <w:t>亿元，占绩效评价资金的约</w:t>
      </w:r>
      <w:r>
        <w:rPr>
          <w:rFonts w:ascii="仿宋_GB2312" w:eastAsia="仿宋_GB2312"/>
          <w:sz w:val="30"/>
          <w:szCs w:val="30"/>
        </w:rPr>
        <w:t>55%</w:t>
      </w:r>
      <w:r>
        <w:rPr>
          <w:rFonts w:ascii="仿宋_GB2312" w:eastAsia="仿宋_GB2312" w:hint="eastAsia"/>
          <w:sz w:val="30"/>
          <w:szCs w:val="30"/>
        </w:rPr>
        <w:t>。部分业务科室对一些重点领域项目进行了重点绩效评价，如扶贫专项资金、水利专项资金以及山水林田湖项目资金，涉及资金近</w:t>
      </w: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亿元。</w:t>
      </w:r>
    </w:p>
    <w:p w:rsidR="00A22930" w:rsidRPr="00E14034" w:rsidRDefault="00A22930" w:rsidP="00734942">
      <w:pPr>
        <w:pStyle w:val="a5"/>
        <w:spacing w:before="0" w:beforeAutospacing="0" w:after="0" w:afterAutospacing="0" w:line="540" w:lineRule="exact"/>
        <w:ind w:firstLineChars="150" w:firstLine="450"/>
        <w:rPr>
          <w:rFonts w:ascii="仿宋_GB2312" w:eastAsia="仿宋_GB2312"/>
          <w:color w:val="auto"/>
          <w:sz w:val="30"/>
          <w:szCs w:val="30"/>
        </w:rPr>
      </w:pPr>
      <w:r>
        <w:rPr>
          <w:rFonts w:ascii="仿宋_GB2312" w:eastAsia="仿宋_GB2312" w:hint="eastAsia"/>
          <w:color w:val="auto"/>
          <w:sz w:val="30"/>
          <w:szCs w:val="30"/>
        </w:rPr>
        <w:t>（四）</w:t>
      </w:r>
      <w:r w:rsidRPr="00E14034">
        <w:rPr>
          <w:rFonts w:ascii="仿宋_GB2312" w:eastAsia="仿宋_GB2312" w:hint="eastAsia"/>
          <w:color w:val="auto"/>
          <w:sz w:val="30"/>
          <w:szCs w:val="30"/>
        </w:rPr>
        <w:t>开展项目评价。一看制度建设情况。主要看是否建立项目管理制度、财务管理制度、资产管理制度和绩效跟踪管理措施等，是否随时实行动态管理。二看资金使用情况。主要看资金到位与工程进度是否相匹配，预算执行进度是否按预期进行，资金使用是否经济高效。三看绩效目标的实现程度和效果。主要看项目产生的绩效是否如期达到目标，投入与产出的成本，以及经济效益、社会效益、服务对象满意度等。</w:t>
      </w:r>
    </w:p>
    <w:p w:rsidR="00A22930" w:rsidRPr="00985492" w:rsidRDefault="00A22930" w:rsidP="00734942">
      <w:pPr>
        <w:spacing w:line="540" w:lineRule="exact"/>
        <w:ind w:firstLineChars="200" w:firstLine="602"/>
        <w:rPr>
          <w:rFonts w:ascii="仿宋_GB2312" w:eastAsia="仿宋_GB2312" w:hAnsi="宋体" w:cs="宋体"/>
          <w:b/>
          <w:kern w:val="0"/>
          <w:sz w:val="30"/>
          <w:szCs w:val="30"/>
        </w:rPr>
      </w:pPr>
      <w:r w:rsidRPr="00985492">
        <w:rPr>
          <w:rFonts w:ascii="仿宋_GB2312" w:eastAsia="仿宋_GB2312" w:hAnsi="宋体" w:cs="宋体" w:hint="eastAsia"/>
          <w:b/>
          <w:kern w:val="0"/>
          <w:sz w:val="30"/>
          <w:szCs w:val="30"/>
        </w:rPr>
        <w:t>二、工作中存在困难和问题</w:t>
      </w:r>
    </w:p>
    <w:p w:rsidR="00A22930" w:rsidRPr="00985492" w:rsidRDefault="00A22930" w:rsidP="00734942">
      <w:pPr>
        <w:spacing w:line="54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t>（一）绩效管理制度仍不完善。虽然制定了相关的管理办法及工作</w:t>
      </w: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流程，但是目前处于探索推进的阶段，随着绩效管理工作的逐步深入，管理办法需要进一步完善，相关的管理制度也需健全。</w:t>
      </w:r>
      <w:r w:rsidRPr="00985492">
        <w:rPr>
          <w:rFonts w:ascii="仿宋_GB2312" w:eastAsia="仿宋_GB2312" w:hAnsi="宋体" w:cs="宋体"/>
          <w:kern w:val="0"/>
          <w:sz w:val="30"/>
          <w:szCs w:val="30"/>
        </w:rPr>
        <w:t xml:space="preserve"> </w:t>
      </w:r>
    </w:p>
    <w:p w:rsidR="00A22930" w:rsidRPr="00985492" w:rsidRDefault="00A22930" w:rsidP="00A83408">
      <w:pPr>
        <w:spacing w:line="54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985492">
        <w:rPr>
          <w:rFonts w:ascii="仿宋_GB2312" w:eastAsia="仿宋_GB2312" w:hAnsi="宋体" w:cs="宋体"/>
          <w:kern w:val="0"/>
          <w:sz w:val="30"/>
          <w:szCs w:val="30"/>
        </w:rPr>
        <w:t xml:space="preserve">   </w:t>
      </w: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二</w:t>
      </w: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t>）绩效理念有待进一步提高。一是各部门（单位）认识不到位。经过绩效管理工作的试点，各部门（单位）对绩效理念有了一定了解，但长期以来形成的“重分配、轻管理”的观念还没有彻底根除。一些部门认为资金使用只要合理合规就行，使用效益与己责任不大，因此对绩效管理工作重视不够。二是财政绩效管理者认识不到位。地方财政部门对预算绩效管理的职能定位还存在模糊认识，对绩效管理概念的认识停留在绩效评价阶段，在处理绩效管理与预算管理关系方面，存在认识不一致、甚至本末倒置的问题。</w:t>
      </w:r>
    </w:p>
    <w:p w:rsidR="00A22930" w:rsidRPr="00985492" w:rsidRDefault="00A22930" w:rsidP="00734942">
      <w:pPr>
        <w:spacing w:line="54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三</w:t>
      </w: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t>）完成工作质量有待提高。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近几</w:t>
      </w: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t>年，我们在预算绩效管理的各个环节都进行了有益的探索和实践，单从数量和金额上看还差强人意，但从质量上看，有待进一步提高，预算绩效管理工作任重道远。</w:t>
      </w:r>
    </w:p>
    <w:p w:rsidR="00A22930" w:rsidRPr="00985492" w:rsidRDefault="00A22930" w:rsidP="00734942">
      <w:pPr>
        <w:spacing w:line="54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四</w:t>
      </w: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t>）技术支撑尚显乏力。预算绩效管理的指标体系、评价标准尚未完善，专家库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、</w:t>
      </w: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t>中介机构库尚未建立或不够规范，绩效评价质量有待提高。政府追求多元化的公共目标，很多内容难以量化，导致预算绩效管理指标很难设定，如何建立一套科学、完整的绩效管理信息系统，综合评价财政支出的经济效益、社会效益等，是当前开展绩效评价工作的难点。</w:t>
      </w:r>
    </w:p>
    <w:p w:rsidR="00A22930" w:rsidRPr="00985492" w:rsidRDefault="00A22930" w:rsidP="00734942">
      <w:pPr>
        <w:spacing w:line="540" w:lineRule="exact"/>
        <w:ind w:firstLineChars="150" w:firstLine="450"/>
        <w:rPr>
          <w:rFonts w:ascii="仿宋_GB2312" w:eastAsia="仿宋_GB2312" w:hAnsi="宋体" w:cs="宋体"/>
          <w:kern w:val="0"/>
          <w:sz w:val="30"/>
          <w:szCs w:val="30"/>
        </w:rPr>
      </w:pP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t>（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五</w:t>
      </w:r>
      <w:r w:rsidRPr="00985492">
        <w:rPr>
          <w:rFonts w:ascii="仿宋_GB2312" w:eastAsia="仿宋_GB2312" w:hAnsi="宋体" w:cs="宋体" w:hint="eastAsia"/>
          <w:kern w:val="0"/>
          <w:sz w:val="30"/>
          <w:szCs w:val="30"/>
        </w:rPr>
        <w:t>）结果应用不够充分。受评价体系科学性、评价机制合理性的限制，形成的评价报告质量参差不齐，评价结果的科学性有待提高。</w:t>
      </w:r>
    </w:p>
    <w:p w:rsidR="00A22930" w:rsidRPr="00B119E1" w:rsidRDefault="00A22930" w:rsidP="00734942">
      <w:pPr>
        <w:spacing w:line="54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B119E1">
        <w:rPr>
          <w:rFonts w:ascii="仿宋_GB2312" w:eastAsia="仿宋_GB2312" w:hAnsi="仿宋" w:hint="eastAsia"/>
          <w:b/>
          <w:sz w:val="30"/>
          <w:szCs w:val="30"/>
        </w:rPr>
        <w:t>四、下一步工作打算</w:t>
      </w:r>
    </w:p>
    <w:p w:rsidR="00A22930" w:rsidRPr="00E14034" w:rsidRDefault="00A22930" w:rsidP="00734942">
      <w:pPr>
        <w:spacing w:line="540" w:lineRule="exact"/>
        <w:ind w:firstLineChars="150" w:firstLine="45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（一）</w:t>
      </w:r>
      <w:r w:rsidRPr="00E14034">
        <w:rPr>
          <w:rFonts w:ascii="仿宋_GB2312" w:eastAsia="仿宋_GB2312" w:hAnsi="??" w:hint="eastAsia"/>
          <w:sz w:val="30"/>
          <w:szCs w:val="30"/>
        </w:rPr>
        <w:t>加强宣传培训。进一步加强业务水平培训，加大宣传力度，夯实预算绩效评价的基础，营造良好的绩效评价环境，为下一步逐步全面地开展绩效评价工作奠定基础。</w:t>
      </w:r>
    </w:p>
    <w:p w:rsidR="00A22930" w:rsidRPr="00E14034" w:rsidRDefault="00A22930" w:rsidP="00734942">
      <w:pPr>
        <w:spacing w:line="540" w:lineRule="exact"/>
        <w:ind w:firstLineChars="150" w:firstLine="45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lastRenderedPageBreak/>
        <w:t>（二）</w:t>
      </w:r>
      <w:r w:rsidRPr="00E14034">
        <w:rPr>
          <w:rFonts w:ascii="仿宋_GB2312" w:eastAsia="仿宋_GB2312" w:hAnsi="??" w:hint="eastAsia"/>
          <w:sz w:val="30"/>
          <w:szCs w:val="30"/>
        </w:rPr>
        <w:t>推进制度规范化建设。学习先进县市的经验和做法，完善绩效评价制度和管理办法，充实绩效评价指标体系，逐步健全绩效评价标准。</w:t>
      </w:r>
    </w:p>
    <w:p w:rsidR="00A22930" w:rsidRPr="00E14034" w:rsidRDefault="00A22930" w:rsidP="00734942">
      <w:pPr>
        <w:spacing w:line="540" w:lineRule="exact"/>
        <w:ind w:firstLineChars="150" w:firstLine="450"/>
        <w:rPr>
          <w:rFonts w:ascii="仿宋_GB2312" w:eastAsia="仿宋_GB2312" w:hAnsi="??"/>
          <w:sz w:val="30"/>
          <w:szCs w:val="30"/>
        </w:rPr>
      </w:pPr>
      <w:r>
        <w:rPr>
          <w:rFonts w:ascii="仿宋_GB2312" w:eastAsia="仿宋_GB2312" w:hAnsi="??" w:hint="eastAsia"/>
          <w:sz w:val="30"/>
          <w:szCs w:val="30"/>
        </w:rPr>
        <w:t>（三）</w:t>
      </w:r>
      <w:r w:rsidRPr="00E14034">
        <w:rPr>
          <w:rFonts w:ascii="仿宋_GB2312" w:eastAsia="仿宋_GB2312" w:hAnsi="??" w:hint="eastAsia"/>
          <w:sz w:val="30"/>
          <w:szCs w:val="30"/>
        </w:rPr>
        <w:t>扩大绩效评价范围。不断增加纳入绩效评价的单位和项目数量，</w:t>
      </w:r>
      <w:r w:rsidRPr="00E14034">
        <w:rPr>
          <w:rFonts w:ascii="仿宋_GB2312" w:eastAsia="仿宋_GB2312" w:hint="eastAsia"/>
          <w:sz w:val="30"/>
          <w:szCs w:val="30"/>
        </w:rPr>
        <w:t>提高财政资金使用效益，增强部门单位</w:t>
      </w:r>
      <w:r w:rsidRPr="00E14034">
        <w:rPr>
          <w:rFonts w:ascii="仿宋_GB2312" w:eastAsia="仿宋_GB2312" w:hAnsi="宋体" w:hint="eastAsia"/>
          <w:sz w:val="30"/>
          <w:szCs w:val="30"/>
        </w:rPr>
        <w:t>的管理理念和支出的责任意识。</w:t>
      </w:r>
    </w:p>
    <w:p w:rsidR="00A22930" w:rsidRDefault="00A22930" w:rsidP="00734942">
      <w:pPr>
        <w:spacing w:line="540" w:lineRule="exact"/>
        <w:ind w:firstLineChars="200" w:firstLine="602"/>
        <w:rPr>
          <w:rFonts w:ascii="仿宋_GB2312" w:eastAsia="仿宋_GB2312" w:hAnsi="仿宋"/>
          <w:b/>
          <w:sz w:val="30"/>
          <w:szCs w:val="30"/>
        </w:rPr>
      </w:pPr>
      <w:r w:rsidRPr="00B119E1">
        <w:rPr>
          <w:rFonts w:ascii="仿宋_GB2312" w:eastAsia="仿宋_GB2312" w:hAnsi="仿宋" w:hint="eastAsia"/>
          <w:b/>
          <w:sz w:val="30"/>
          <w:szCs w:val="30"/>
        </w:rPr>
        <w:t>五、工作建议</w:t>
      </w:r>
    </w:p>
    <w:p w:rsidR="00A22930" w:rsidRPr="00384B02" w:rsidRDefault="00A22930" w:rsidP="00734942">
      <w:pPr>
        <w:spacing w:line="540" w:lineRule="exact"/>
        <w:ind w:firstLineChars="150" w:firstLine="450"/>
        <w:rPr>
          <w:rFonts w:ascii="仿宋_GB2312" w:eastAsia="仿宋_GB2312"/>
          <w:b/>
          <w:sz w:val="30"/>
          <w:szCs w:val="30"/>
        </w:rPr>
      </w:pPr>
      <w:r w:rsidRPr="00B119E1">
        <w:rPr>
          <w:rFonts w:ascii="仿宋_GB2312" w:eastAsia="仿宋_GB2312" w:hAnsi="??" w:hint="eastAsia"/>
          <w:sz w:val="30"/>
          <w:szCs w:val="30"/>
        </w:rPr>
        <w:t>（</w:t>
      </w:r>
      <w:r>
        <w:rPr>
          <w:rFonts w:ascii="仿宋_GB2312" w:eastAsia="仿宋_GB2312" w:hAnsi="??" w:hint="eastAsia"/>
          <w:sz w:val="30"/>
          <w:szCs w:val="30"/>
        </w:rPr>
        <w:t>一</w:t>
      </w:r>
      <w:r w:rsidRPr="00B119E1">
        <w:rPr>
          <w:rFonts w:ascii="仿宋_GB2312" w:eastAsia="仿宋_GB2312" w:hAnsi="??" w:hint="eastAsia"/>
          <w:sz w:val="30"/>
          <w:szCs w:val="30"/>
        </w:rPr>
        <w:t>）关于预算绩效管理指标体系。县一级由于受各方面条件的限制，制定的指标体系局限性很大，且各地制定的指标体系差异较大，不利于比较，建议财政部自上而下建立科学统一的绩效评价指标体系，避免各地重复建设，增强横向可比性。</w:t>
      </w:r>
    </w:p>
    <w:p w:rsidR="00A22930" w:rsidRDefault="00A22930" w:rsidP="00734942">
      <w:pPr>
        <w:pStyle w:val="a5"/>
        <w:spacing w:before="0" w:beforeAutospacing="0" w:after="0" w:afterAutospacing="0" w:line="540" w:lineRule="exact"/>
        <w:ind w:firstLineChars="150" w:firstLine="450"/>
        <w:rPr>
          <w:rFonts w:ascii="仿宋_GB2312" w:eastAsia="仿宋_GB2312" w:hAnsi="??" w:cs="Times New Roman"/>
          <w:color w:val="auto"/>
          <w:kern w:val="2"/>
          <w:sz w:val="30"/>
          <w:szCs w:val="30"/>
        </w:rPr>
      </w:pPr>
      <w:r w:rsidRPr="00B119E1">
        <w:rPr>
          <w:rFonts w:ascii="仿宋_GB2312" w:eastAsia="仿宋_GB2312" w:hAnsi="??" w:cs="Times New Roman" w:hint="eastAsia"/>
          <w:color w:val="auto"/>
          <w:kern w:val="2"/>
          <w:sz w:val="30"/>
          <w:szCs w:val="30"/>
        </w:rPr>
        <w:t>（</w:t>
      </w:r>
      <w:r>
        <w:rPr>
          <w:rFonts w:ascii="仿宋_GB2312" w:eastAsia="仿宋_GB2312" w:hAnsi="??" w:cs="Times New Roman" w:hint="eastAsia"/>
          <w:color w:val="auto"/>
          <w:kern w:val="2"/>
          <w:sz w:val="30"/>
          <w:szCs w:val="30"/>
        </w:rPr>
        <w:t>二</w:t>
      </w:r>
      <w:r w:rsidRPr="00B119E1">
        <w:rPr>
          <w:rFonts w:ascii="仿宋_GB2312" w:eastAsia="仿宋_GB2312" w:hAnsi="??" w:cs="Times New Roman" w:hint="eastAsia"/>
          <w:color w:val="auto"/>
          <w:kern w:val="2"/>
          <w:sz w:val="30"/>
          <w:szCs w:val="30"/>
        </w:rPr>
        <w:t>）关于培训。预算绩效管理是一项全新的工作，近年来，预算绩效培训不少，但主要是理论方面的讲授多，实务</w:t>
      </w:r>
      <w:bookmarkStart w:id="0" w:name="_GoBack"/>
      <w:bookmarkEnd w:id="0"/>
      <w:r w:rsidRPr="00B119E1">
        <w:rPr>
          <w:rFonts w:ascii="仿宋_GB2312" w:eastAsia="仿宋_GB2312" w:hAnsi="??" w:cs="Times New Roman" w:hint="eastAsia"/>
          <w:color w:val="auto"/>
          <w:kern w:val="2"/>
          <w:sz w:val="30"/>
          <w:szCs w:val="30"/>
        </w:rPr>
        <w:t>操作方面的少，培训效果不太理想。建议今后开展的培训应以实际操作为主，理论培训为辅。</w:t>
      </w:r>
    </w:p>
    <w:p w:rsidR="00A22930" w:rsidRPr="00B119E1" w:rsidRDefault="00A22930" w:rsidP="00A83408">
      <w:pPr>
        <w:pStyle w:val="a5"/>
        <w:spacing w:line="540" w:lineRule="exact"/>
        <w:rPr>
          <w:rFonts w:ascii="仿宋_GB2312" w:eastAsia="仿宋_GB2312" w:hAnsi="??" w:cs="Times New Roman"/>
          <w:color w:val="auto"/>
          <w:kern w:val="2"/>
          <w:sz w:val="30"/>
          <w:szCs w:val="30"/>
        </w:rPr>
      </w:pPr>
    </w:p>
    <w:p w:rsidR="00A22930" w:rsidRPr="00522061" w:rsidRDefault="00A22930" w:rsidP="00B506B3">
      <w:pPr>
        <w:spacing w:before="100" w:beforeAutospacing="1" w:line="540" w:lineRule="exact"/>
        <w:ind w:firstLine="645"/>
        <w:jc w:val="right"/>
        <w:rPr>
          <w:rFonts w:ascii="仿宋_GB2312" w:eastAsia="仿宋_GB2312"/>
          <w:sz w:val="30"/>
          <w:szCs w:val="30"/>
        </w:rPr>
      </w:pPr>
    </w:p>
    <w:sectPr w:rsidR="00A22930" w:rsidRPr="00522061" w:rsidSect="001D35E1">
      <w:head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30" w:rsidRDefault="00A22930" w:rsidP="00E14034">
      <w:r>
        <w:separator/>
      </w:r>
    </w:p>
  </w:endnote>
  <w:endnote w:type="continuationSeparator" w:id="0">
    <w:p w:rsidR="00A22930" w:rsidRDefault="00A22930" w:rsidP="00E14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30" w:rsidRDefault="00A22930" w:rsidP="00E14034">
      <w:r>
        <w:separator/>
      </w:r>
    </w:p>
  </w:footnote>
  <w:footnote w:type="continuationSeparator" w:id="0">
    <w:p w:rsidR="00A22930" w:rsidRDefault="00A22930" w:rsidP="00E14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930" w:rsidRDefault="00A22930" w:rsidP="00125D1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0F9A"/>
    <w:multiLevelType w:val="hybridMultilevel"/>
    <w:tmpl w:val="69B494F2"/>
    <w:lvl w:ilvl="0" w:tplc="7BC6ED62">
      <w:start w:val="1"/>
      <w:numFmt w:val="japaneseCounting"/>
      <w:lvlText w:val="%1、"/>
      <w:lvlJc w:val="left"/>
      <w:pPr>
        <w:ind w:left="1363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56566F9F"/>
    <w:multiLevelType w:val="hybridMultilevel"/>
    <w:tmpl w:val="B26096FA"/>
    <w:lvl w:ilvl="0" w:tplc="21B6846C">
      <w:start w:val="1"/>
      <w:numFmt w:val="japaneseCounting"/>
      <w:lvlText w:val="%1、"/>
      <w:lvlJc w:val="left"/>
      <w:pPr>
        <w:ind w:left="1365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18F"/>
    <w:rsid w:val="00015843"/>
    <w:rsid w:val="000172F1"/>
    <w:rsid w:val="00070C72"/>
    <w:rsid w:val="000C36E0"/>
    <w:rsid w:val="000D14DA"/>
    <w:rsid w:val="00125D12"/>
    <w:rsid w:val="00145473"/>
    <w:rsid w:val="0016714F"/>
    <w:rsid w:val="00175AA9"/>
    <w:rsid w:val="001D35E1"/>
    <w:rsid w:val="001F2893"/>
    <w:rsid w:val="00201A2A"/>
    <w:rsid w:val="002131E8"/>
    <w:rsid w:val="002622E9"/>
    <w:rsid w:val="002B4F8E"/>
    <w:rsid w:val="002D018F"/>
    <w:rsid w:val="002E30A0"/>
    <w:rsid w:val="00311726"/>
    <w:rsid w:val="003643CF"/>
    <w:rsid w:val="003805A8"/>
    <w:rsid w:val="00384B02"/>
    <w:rsid w:val="003F6F2B"/>
    <w:rsid w:val="003F7E85"/>
    <w:rsid w:val="00425D39"/>
    <w:rsid w:val="00445E69"/>
    <w:rsid w:val="00484F0B"/>
    <w:rsid w:val="004A76D2"/>
    <w:rsid w:val="004B0D42"/>
    <w:rsid w:val="004C0D14"/>
    <w:rsid w:val="005047E5"/>
    <w:rsid w:val="00522061"/>
    <w:rsid w:val="005F7C6A"/>
    <w:rsid w:val="006248F6"/>
    <w:rsid w:val="006737EE"/>
    <w:rsid w:val="006B33D3"/>
    <w:rsid w:val="00716F4E"/>
    <w:rsid w:val="007260FC"/>
    <w:rsid w:val="00734942"/>
    <w:rsid w:val="00757C00"/>
    <w:rsid w:val="00776E8B"/>
    <w:rsid w:val="007D377C"/>
    <w:rsid w:val="00820DAD"/>
    <w:rsid w:val="00886CB6"/>
    <w:rsid w:val="00890CD5"/>
    <w:rsid w:val="00897344"/>
    <w:rsid w:val="00897D78"/>
    <w:rsid w:val="008A192F"/>
    <w:rsid w:val="008A6784"/>
    <w:rsid w:val="008B7A91"/>
    <w:rsid w:val="008C4D77"/>
    <w:rsid w:val="00924AFA"/>
    <w:rsid w:val="00947BD7"/>
    <w:rsid w:val="0095567A"/>
    <w:rsid w:val="00985492"/>
    <w:rsid w:val="009C5868"/>
    <w:rsid w:val="009F0DD0"/>
    <w:rsid w:val="00A22930"/>
    <w:rsid w:val="00A30D6E"/>
    <w:rsid w:val="00A53AE9"/>
    <w:rsid w:val="00A83408"/>
    <w:rsid w:val="00AB7C6D"/>
    <w:rsid w:val="00AE51D4"/>
    <w:rsid w:val="00AF2CE7"/>
    <w:rsid w:val="00B119E1"/>
    <w:rsid w:val="00B24132"/>
    <w:rsid w:val="00B3471F"/>
    <w:rsid w:val="00B41609"/>
    <w:rsid w:val="00B506B3"/>
    <w:rsid w:val="00B81D1D"/>
    <w:rsid w:val="00B9497D"/>
    <w:rsid w:val="00BA5559"/>
    <w:rsid w:val="00BB21B5"/>
    <w:rsid w:val="00BC27F8"/>
    <w:rsid w:val="00BE502F"/>
    <w:rsid w:val="00C128C6"/>
    <w:rsid w:val="00C95B9F"/>
    <w:rsid w:val="00CD68F5"/>
    <w:rsid w:val="00CF6F64"/>
    <w:rsid w:val="00D12DA8"/>
    <w:rsid w:val="00D82A58"/>
    <w:rsid w:val="00DE5938"/>
    <w:rsid w:val="00DF19DA"/>
    <w:rsid w:val="00E14034"/>
    <w:rsid w:val="00E251DA"/>
    <w:rsid w:val="00E3404E"/>
    <w:rsid w:val="00E364D1"/>
    <w:rsid w:val="00E42F58"/>
    <w:rsid w:val="00E51E7F"/>
    <w:rsid w:val="00E94CAE"/>
    <w:rsid w:val="00E959FC"/>
    <w:rsid w:val="00F67C82"/>
    <w:rsid w:val="00F8102C"/>
    <w:rsid w:val="00FB7375"/>
    <w:rsid w:val="00FE07A8"/>
    <w:rsid w:val="00FF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34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14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1403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1403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14034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E14034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6">
    <w:name w:val="List Paragraph"/>
    <w:basedOn w:val="a"/>
    <w:uiPriority w:val="99"/>
    <w:qFormat/>
    <w:rsid w:val="00E1403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CD6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10.208.9.181:8888/website-webapp/common/preview_resource.action?id=7ec189f5355a4cb3aac3ce9d1b5745e1&amp;type=pdf&amp;jcrVer=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1611</Words>
  <Characters>200</Characters>
  <Application>Microsoft Office Word</Application>
  <DocSecurity>0</DocSecurity>
  <Lines>1</Lines>
  <Paragraphs>3</Paragraphs>
  <ScaleCrop>false</ScaleCrop>
  <Company>信丰华亿信息技术有限公司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信丰县2017年预算绩效管理工作总结</dc:title>
  <dc:subject/>
  <dc:creator>华亿电脑</dc:creator>
  <cp:keywords/>
  <dc:description/>
  <cp:lastModifiedBy>Administrator</cp:lastModifiedBy>
  <cp:revision>15</cp:revision>
  <cp:lastPrinted>2017-01-12T03:18:00Z</cp:lastPrinted>
  <dcterms:created xsi:type="dcterms:W3CDTF">2018-01-23T09:50:00Z</dcterms:created>
  <dcterms:modified xsi:type="dcterms:W3CDTF">2020-11-19T04:02:00Z</dcterms:modified>
</cp:coreProperties>
</file>