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信丰县政务服务大厅工程建设项目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建设工程消防备案与抽查事项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窗口一次性告知书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 xml:space="preserve">              </w:t>
      </w:r>
    </w:p>
    <w:tbl>
      <w:tblPr>
        <w:tblStyle w:val="4"/>
        <w:tblW w:w="14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351"/>
        <w:gridCol w:w="4354"/>
        <w:gridCol w:w="1339"/>
        <w:gridCol w:w="907"/>
        <w:gridCol w:w="481"/>
        <w:gridCol w:w="832"/>
        <w:gridCol w:w="763"/>
        <w:gridCol w:w="645"/>
        <w:gridCol w:w="907"/>
        <w:gridCol w:w="907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事项名称</w:t>
            </w:r>
          </w:p>
        </w:tc>
        <w:tc>
          <w:tcPr>
            <w:tcW w:w="6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6"/>
                <w:tab w:val="center" w:pos="2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建设工程消防备案与抽查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子项名称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建设工程消防备案与抽查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受理地点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赣州市信丰县政务服务中心一楼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工程建设综合窗口</w:t>
            </w:r>
            <w:bookmarkStart w:id="0" w:name="_GoBack"/>
            <w:bookmarkEnd w:id="0"/>
          </w:p>
        </w:tc>
        <w:tc>
          <w:tcPr>
            <w:tcW w:w="77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咨询电话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0797-3339529     预约电话：18270253931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监督电话：0797-7107360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事项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77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法定时限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15个工作日              承诺时限：7个工作日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收费标准及依据</w:t>
            </w:r>
          </w:p>
        </w:tc>
        <w:tc>
          <w:tcPr>
            <w:tcW w:w="7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不收费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支持网上支付：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FE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5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是否网办：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FE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    是否邮寄：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FE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实施依据</w:t>
            </w:r>
          </w:p>
        </w:tc>
        <w:tc>
          <w:tcPr>
            <w:tcW w:w="124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" w:hAnsi="仿宋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1.《中华人民共和国消防法》2.《建设工程消防设计审查验收管理暂行规定》；3.《江西省建设工程消防设计审查验收管理实施细则（试行）》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申报材料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材料出具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职能部门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原件数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容缺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免证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告知承诺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1.建设工程消防验收备案申请表（含申报材料提交真实性承诺书）；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建设单位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exact"/>
          <w:jc w:val="center"/>
        </w:trPr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2.消防工程竣工报告（竣工验收包含①消防查验报告；②施工单位竣工报告；③设计单位、监理单位质量自评报告；④消防设施各个系统检查检测合格报告；⑤规划许可和施工许可文件；⑥建设、设计、图审、施工、监理、消防技术服务机构的资质证书等合法身份证明文件（住建云系统能查询到的可容缺）和参建各方的《建设工程消防终身负责制登记表》；⑦授权委托书（附被委托人身份证复印件；⑧消防产品合格证明文件（根据工程使用消防产品情况如实填写消防产品清单，并提供相关消防产品的检验报告和合格证书）⑨存在消防验收不合格的情况，还需提供整改报告及建设工程消防验收备案抽查复查申请表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  <w:t>建设单位、各参建单位、自然资源局、行政审批局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3.消防设计文件（包括消防设计审查意见、消防设计说明文件、消防竣工图纸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CAD和PDF格式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、施工图审查合格书及图审过程记录）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建设单位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办理流程</w:t>
            </w:r>
          </w:p>
        </w:tc>
        <w:tc>
          <w:tcPr>
            <w:tcW w:w="1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64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申请--受理--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系统抽查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抽中现场评定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/未抽中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--办结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64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办理时间</w:t>
            </w:r>
          </w:p>
        </w:tc>
        <w:tc>
          <w:tcPr>
            <w:tcW w:w="1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64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法定工作日：9:00-12:00,14:30-17:30；错时服务：12:00-14：30（法定工作日）；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64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28"/>
                <w:sz w:val="24"/>
                <w:szCs w:val="24"/>
                <w:lang w:val="en-US" w:eastAsia="zh-CN"/>
              </w:rPr>
              <w:t>延时服务：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9:00-12:00,14:30-17:30（法定节假日）；预约服务：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FE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审批事项过程描述</w:t>
            </w:r>
          </w:p>
        </w:tc>
        <w:tc>
          <w:tcPr>
            <w:tcW w:w="1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申请→工程建设一窗办受理、初审→县住建局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消防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审批股在赣州市政务服务网工程项目审批系统抽查→抽中现场评定/未抽中→工程建设一窗办登记、发证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ascii="仿宋_GB2312" w:eastAsia="仿宋_GB2312" w:cs="仿宋_GB2312"/>
          <w:sz w:val="24"/>
          <w:szCs w:val="24"/>
          <w:lang w:eastAsia="zh-CN"/>
        </w:rPr>
        <w:t>申请人：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联系方式：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eastAsia="仿宋_GB2312" w:cs="仿宋_GB2312"/>
          <w:sz w:val="24"/>
          <w:szCs w:val="24"/>
        </w:rPr>
        <w:t>承办人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_GB2312" w:eastAsia="仿宋_GB2312" w:cs="仿宋_GB2312"/>
          <w:sz w:val="24"/>
          <w:szCs w:val="24"/>
        </w:rPr>
        <w:t xml:space="preserve">联系方式： 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 xml:space="preserve">                   时间：     年   月   日</w:t>
      </w:r>
    </w:p>
    <w:sectPr>
      <w:footerReference r:id="rId4" w:type="default"/>
      <w:pgSz w:w="16840" w:h="11907" w:orient="landscape"/>
      <w:pgMar w:top="737" w:right="1134" w:bottom="737" w:left="1134" w:header="709" w:footer="709" w:gutter="0"/>
      <w:pgNumType w:fmt="decimal"/>
      <w:cols w:space="720" w:num="1"/>
      <w:docGrid w:type="lines" w:linePitch="5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5C32438-3634-4E95-A386-5B00C1CAFC9E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46CC6AC6-9195-4D93-B503-F4C2095436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D29219-314D-4FA6-939C-597BAE17B4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F429DE0-F8A1-44FE-A160-2BC162686C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556FBAE-F493-4789-9F50-79FC64E342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NDVjOThkNWEzMWE1MTg1Zjk0OWJkN2I3YzdiOTYifQ=="/>
  </w:docVars>
  <w:rsids>
    <w:rsidRoot w:val="2D625AD4"/>
    <w:rsid w:val="008707D0"/>
    <w:rsid w:val="05764F81"/>
    <w:rsid w:val="07C15D45"/>
    <w:rsid w:val="14A1043D"/>
    <w:rsid w:val="151502F3"/>
    <w:rsid w:val="1FA913C5"/>
    <w:rsid w:val="29691A5C"/>
    <w:rsid w:val="2D625AD4"/>
    <w:rsid w:val="31191DC8"/>
    <w:rsid w:val="35F30A1D"/>
    <w:rsid w:val="3EA13181"/>
    <w:rsid w:val="3FF26C7C"/>
    <w:rsid w:val="442C0DD6"/>
    <w:rsid w:val="49D6490A"/>
    <w:rsid w:val="4E1C5C13"/>
    <w:rsid w:val="59D670A9"/>
    <w:rsid w:val="5E9D0DD6"/>
    <w:rsid w:val="5F9B4036"/>
    <w:rsid w:val="61E23389"/>
    <w:rsid w:val="746F6CB2"/>
    <w:rsid w:val="7682008A"/>
    <w:rsid w:val="76BA461D"/>
    <w:rsid w:val="7BD44E9D"/>
    <w:rsid w:val="7BF67DC7"/>
    <w:rsid w:val="7CE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1007</Characters>
  <Lines>0</Lines>
  <Paragraphs>0</Paragraphs>
  <TotalTime>0</TotalTime>
  <ScaleCrop>false</ScaleCrop>
  <LinksUpToDate>false</LinksUpToDate>
  <CharactersWithSpaces>1147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2022-02-16T00:49:00Z</dcterms:created>
  <dc:creator>微信的WPS</dc:creator>
  <cp:lastModifiedBy>A-kiss xiaocao</cp:lastModifiedBy>
  <cp:lastPrinted>2022-11-03T03:27:00Z</cp:lastPrinted>
  <dcterms:modified xsi:type="dcterms:W3CDTF">2022-11-04T09:13:55Z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754134ECC3604290B871B1AA17CA40B5</vt:lpwstr>
  </property>
</Properties>
</file>