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center"/>
        <w:rPr>
          <w:rFonts w:ascii="Calibri" w:hAnsi="Calibri" w:cs="Calibri"/>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kern w:val="0"/>
          <w:sz w:val="44"/>
          <w:szCs w:val="44"/>
          <w:shd w:val="clear" w:fill="FFFFFF"/>
          <w:lang w:val="en-US" w:eastAsia="zh-CN" w:bidi="ar"/>
        </w:rPr>
        <w:t>信丰县公安局2021年度政府信息公开工作年度报告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黑体" w:hAnsi="黑体" w:eastAsia="黑体" w:cs="黑体"/>
          <w:sz w:val="32"/>
          <w:szCs w:val="32"/>
        </w:rPr>
      </w:pPr>
      <w:r>
        <w:rPr>
          <w:rFonts w:hint="eastAsia" w:ascii="黑体" w:hAnsi="黑体" w:eastAsia="黑体" w:cs="黑体"/>
          <w:b/>
          <w:bCs/>
          <w:sz w:val="32"/>
          <w:szCs w:val="32"/>
        </w:rPr>
        <w:t>一、总体情况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default" w:ascii="仿宋_GB2312" w:hAnsi="Calibri" w:eastAsia="仿宋_GB2312" w:cs="仿宋_GB2312"/>
          <w:i w:val="0"/>
          <w:iCs w:val="0"/>
          <w:caps w:val="0"/>
          <w:color w:val="000000"/>
          <w:spacing w:val="0"/>
          <w:kern w:val="0"/>
          <w:sz w:val="32"/>
          <w:szCs w:val="32"/>
          <w:shd w:val="clear" w:fill="FFFFFF"/>
          <w:lang w:val="en-US" w:eastAsia="zh-CN" w:bidi="ar"/>
        </w:rPr>
      </w:pPr>
      <w:r>
        <w:rPr>
          <w:rFonts w:ascii="楷体_GB2312" w:hAnsi="Calibri" w:eastAsia="楷体_GB2312" w:cs="楷体_GB2312"/>
          <w:b/>
          <w:bCs/>
          <w:i w:val="0"/>
          <w:iCs w:val="0"/>
          <w:caps w:val="0"/>
          <w:color w:val="000000"/>
          <w:spacing w:val="0"/>
          <w:kern w:val="0"/>
          <w:sz w:val="32"/>
          <w:szCs w:val="32"/>
          <w:shd w:val="clear" w:fill="FFFFFF"/>
          <w:lang w:val="en-US" w:eastAsia="zh-CN" w:bidi="ar"/>
        </w:rPr>
        <w:t>（一）主动公开工作情况。</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认真落实《</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信丰县公安局</w:t>
      </w:r>
      <w:bookmarkStart w:id="0" w:name="_GoBack"/>
      <w:bookmarkEnd w:id="0"/>
      <w:r>
        <w:rPr>
          <w:rFonts w:hint="default" w:ascii="仿宋_GB2312" w:hAnsi="Calibri" w:eastAsia="仿宋_GB2312" w:cs="仿宋_GB2312"/>
          <w:i w:val="0"/>
          <w:iCs w:val="0"/>
          <w:caps w:val="0"/>
          <w:color w:val="000000"/>
          <w:spacing w:val="0"/>
          <w:kern w:val="0"/>
          <w:sz w:val="32"/>
          <w:szCs w:val="32"/>
          <w:shd w:val="clear" w:fill="FFFFFF"/>
          <w:lang w:val="en-US" w:eastAsia="zh-CN" w:bidi="ar"/>
        </w:rPr>
        <w:t>2021年政务公开重点工作任务分工》要求，全年主动公开政府信息</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626</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条。其中：工作动态596条，政策文件11条，治安管理5</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条，规划计划4条，</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部门所属单位预算、决算及相关报表信息</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2</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条，主动回应公众关注热点问题</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8</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default" w:ascii="仿宋_GB2312" w:hAnsi="Calibri" w:eastAsia="仿宋_GB2312" w:cs="仿宋_GB2312"/>
          <w:i w:val="0"/>
          <w:iCs w:val="0"/>
          <w:caps w:val="0"/>
          <w:color w:val="000000"/>
          <w:spacing w:val="0"/>
          <w:kern w:val="0"/>
          <w:sz w:val="32"/>
          <w:szCs w:val="32"/>
          <w:shd w:val="clear" w:fill="FFFFFF"/>
          <w:lang w:val="en-US" w:eastAsia="zh-CN" w:bidi="ar"/>
        </w:rPr>
      </w:pPr>
      <w:r>
        <w:rPr>
          <w:rFonts w:hint="default" w:ascii="楷体_GB2312" w:hAnsi="Calibri" w:eastAsia="楷体_GB2312" w:cs="楷体_GB2312"/>
          <w:b/>
          <w:bCs/>
          <w:i w:val="0"/>
          <w:iCs w:val="0"/>
          <w:caps w:val="0"/>
          <w:color w:val="000000"/>
          <w:spacing w:val="0"/>
          <w:kern w:val="0"/>
          <w:sz w:val="32"/>
          <w:szCs w:val="32"/>
          <w:shd w:val="clear" w:fill="FFFFFF"/>
          <w:lang w:val="en-US" w:eastAsia="zh-CN" w:bidi="ar"/>
        </w:rPr>
        <w:t>（二）依申请公开工作情况。</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不断健全完善依申请公开答复机制，确定由局办公室牵头具体办理，多警种部门协同配合的答复工作流程，积极配合做好全市依申请公开平台数据迁移相关工作，认真开展新平台使用等业务培训，全年共办理上年结转政府信息公开申请</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1</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件，</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已</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在规定时间内回复申请人。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default" w:ascii="仿宋_GB2312" w:hAnsi="Calibri" w:eastAsia="仿宋_GB2312" w:cs="仿宋_GB2312"/>
          <w:i w:val="0"/>
          <w:iCs w:val="0"/>
          <w:caps w:val="0"/>
          <w:color w:val="000000"/>
          <w:spacing w:val="0"/>
          <w:kern w:val="0"/>
          <w:sz w:val="32"/>
          <w:szCs w:val="32"/>
          <w:shd w:val="clear" w:fill="FFFFFF"/>
          <w:lang w:val="en-US" w:eastAsia="zh-CN" w:bidi="ar"/>
        </w:rPr>
      </w:pPr>
      <w:r>
        <w:rPr>
          <w:rFonts w:hint="default" w:ascii="楷体_GB2312" w:hAnsi="Calibri" w:eastAsia="楷体_GB2312" w:cs="楷体_GB2312"/>
          <w:b/>
          <w:bCs/>
          <w:i w:val="0"/>
          <w:iCs w:val="0"/>
          <w:caps w:val="0"/>
          <w:color w:val="000000"/>
          <w:spacing w:val="0"/>
          <w:kern w:val="0"/>
          <w:sz w:val="32"/>
          <w:szCs w:val="32"/>
          <w:shd w:val="clear" w:fill="FFFFFF"/>
          <w:lang w:val="en-US" w:eastAsia="zh-CN" w:bidi="ar"/>
        </w:rPr>
        <w:t>（三）政府信息管理工作情况。</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加强政府信息公开相关制度建设，严格落实政府信息公开“三审”制度，对拟公开信息实行拟文机关初审、保密委员会保密审查、政务公开办审核、局领导审签“四步走”程序化管理，制定印发《</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信丰县</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公安局</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信息公开</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工作实施办法》，在公文拟定过程中明确该</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信息</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属于主动公开、依申请公开或不予公开等属性，确保</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信息</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日常管理严格规范。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default" w:ascii="仿宋_GB2312" w:hAnsi="Calibri" w:eastAsia="仿宋_GB2312" w:cs="仿宋_GB2312"/>
          <w:i w:val="0"/>
          <w:iCs w:val="0"/>
          <w:caps w:val="0"/>
          <w:color w:val="000000"/>
          <w:spacing w:val="0"/>
          <w:kern w:val="0"/>
          <w:sz w:val="32"/>
          <w:szCs w:val="32"/>
          <w:shd w:val="clear" w:fill="FFFFFF"/>
          <w:lang w:val="en-US" w:eastAsia="zh-CN" w:bidi="ar"/>
        </w:rPr>
      </w:pPr>
      <w:r>
        <w:rPr>
          <w:rFonts w:hint="default" w:ascii="楷体_GB2312" w:hAnsi="Calibri" w:eastAsia="楷体_GB2312" w:cs="楷体_GB2312"/>
          <w:b/>
          <w:bCs/>
          <w:i w:val="0"/>
          <w:iCs w:val="0"/>
          <w:caps w:val="0"/>
          <w:color w:val="000000"/>
          <w:spacing w:val="0"/>
          <w:kern w:val="0"/>
          <w:sz w:val="32"/>
          <w:szCs w:val="32"/>
          <w:shd w:val="clear" w:fill="FFFFFF"/>
          <w:lang w:val="en-US" w:eastAsia="zh-CN" w:bidi="ar"/>
        </w:rPr>
        <w:t>（</w:t>
      </w:r>
      <w:r>
        <w:rPr>
          <w:rFonts w:hint="eastAsia" w:ascii="楷体_GB2312" w:hAnsi="Calibri" w:eastAsia="楷体_GB2312" w:cs="楷体_GB2312"/>
          <w:b/>
          <w:bCs/>
          <w:i w:val="0"/>
          <w:iCs w:val="0"/>
          <w:caps w:val="0"/>
          <w:color w:val="000000"/>
          <w:spacing w:val="0"/>
          <w:kern w:val="0"/>
          <w:sz w:val="32"/>
          <w:szCs w:val="32"/>
          <w:shd w:val="clear" w:fill="FFFFFF"/>
          <w:lang w:val="en-US" w:eastAsia="zh-CN" w:bidi="ar"/>
        </w:rPr>
        <w:t>四</w:t>
      </w:r>
      <w:r>
        <w:rPr>
          <w:rFonts w:hint="default" w:ascii="楷体_GB2312" w:hAnsi="Calibri" w:eastAsia="楷体_GB2312" w:cs="楷体_GB2312"/>
          <w:b/>
          <w:bCs/>
          <w:i w:val="0"/>
          <w:iCs w:val="0"/>
          <w:caps w:val="0"/>
          <w:color w:val="000000"/>
          <w:spacing w:val="0"/>
          <w:kern w:val="0"/>
          <w:sz w:val="32"/>
          <w:szCs w:val="32"/>
          <w:shd w:val="clear" w:fill="FFFFFF"/>
          <w:lang w:val="en-US" w:eastAsia="zh-CN" w:bidi="ar"/>
        </w:rPr>
        <w:t>）政府信息公开平台建设情况。</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严格落实《国务院办公厅政府信息与政务公开办公室关于规范政府信息公开平台有关事项的通知（国办公开办函〔2019〕61号）要求，不断优化栏目页面设置、检索和下载功能，方便社会公众快速准确获取所需要的政府信息。不断加强</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新媒体</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建设，一年来通过微信公众号发布信息</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413</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条，</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新增订阅量0.</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.7万个</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，总订阅量7万余</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default" w:ascii="仿宋_GB2312" w:hAnsi="Calibri" w:eastAsia="仿宋_GB2312" w:cs="仿宋_GB2312"/>
          <w:i w:val="0"/>
          <w:iCs w:val="0"/>
          <w:caps w:val="0"/>
          <w:color w:val="000000"/>
          <w:spacing w:val="0"/>
          <w:kern w:val="0"/>
          <w:sz w:val="32"/>
          <w:szCs w:val="32"/>
          <w:shd w:val="clear" w:fill="FFFFFF"/>
          <w:lang w:val="en-US" w:eastAsia="zh-CN" w:bidi="ar"/>
        </w:rPr>
      </w:pPr>
      <w:r>
        <w:rPr>
          <w:rFonts w:hint="default" w:ascii="楷体_GB2312" w:hAnsi="Calibri" w:eastAsia="楷体_GB2312" w:cs="楷体_GB2312"/>
          <w:b/>
          <w:bCs/>
          <w:i w:val="0"/>
          <w:iCs w:val="0"/>
          <w:caps w:val="0"/>
          <w:color w:val="000000"/>
          <w:spacing w:val="0"/>
          <w:kern w:val="0"/>
          <w:sz w:val="32"/>
          <w:szCs w:val="32"/>
          <w:shd w:val="clear" w:fill="FFFFFF"/>
          <w:lang w:val="en-US" w:eastAsia="zh-CN" w:bidi="ar"/>
        </w:rPr>
        <w:t>（五）监督保障工作情况。</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制定《</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信丰县</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公安局</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信息公开</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工作实施办法》，成立由局主要领导任组长，局党委班子成员任副组长的工作领导小组，对重点工作逐项明确牵头局领导、牵头单位和责任单位，确保各项任务落实落细。</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12</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月2日，</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县</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公安局召开政务公开工作会议，全面总结分析我局政务公开工作取得的成绩和存在的问题，并对重点工作进行安排部署。建立完善</w:t>
      </w:r>
      <w:r>
        <w:rPr>
          <w:rFonts w:hint="eastAsia" w:ascii="仿宋_GB2312" w:hAnsi="Calibri" w:eastAsia="仿宋_GB2312" w:cs="仿宋_GB2312"/>
          <w:i w:val="0"/>
          <w:iCs w:val="0"/>
          <w:caps w:val="0"/>
          <w:color w:val="000000"/>
          <w:spacing w:val="0"/>
          <w:kern w:val="0"/>
          <w:sz w:val="32"/>
          <w:szCs w:val="32"/>
          <w:shd w:val="clear" w:fill="FFFFFF"/>
          <w:lang w:val="en-US" w:eastAsia="zh-CN" w:bidi="ar"/>
        </w:rPr>
        <w:t>县</w:t>
      </w:r>
      <w:r>
        <w:rPr>
          <w:rFonts w:hint="default" w:ascii="仿宋_GB2312" w:hAnsi="Calibri" w:eastAsia="仿宋_GB2312" w:cs="仿宋_GB2312"/>
          <w:i w:val="0"/>
          <w:iCs w:val="0"/>
          <w:caps w:val="0"/>
          <w:color w:val="000000"/>
          <w:spacing w:val="0"/>
          <w:kern w:val="0"/>
          <w:sz w:val="32"/>
          <w:szCs w:val="32"/>
          <w:shd w:val="clear" w:fill="FFFFFF"/>
          <w:lang w:val="en-US" w:eastAsia="zh-CN" w:bidi="ar"/>
        </w:rPr>
        <w:t>公安局政府信息公开工作通报机制。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黑体" w:hAnsi="黑体" w:eastAsia="黑体" w:cs="黑体"/>
          <w:sz w:val="32"/>
          <w:szCs w:val="32"/>
        </w:rPr>
      </w:pPr>
      <w:r>
        <w:rPr>
          <w:rFonts w:hint="eastAsia" w:ascii="黑体" w:hAnsi="黑体" w:eastAsia="黑体" w:cs="黑体"/>
          <w:b/>
          <w:bCs/>
          <w:sz w:val="32"/>
          <w:szCs w:val="32"/>
        </w:rPr>
        <w:t>二、主动公开政府信息情况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default" w:ascii="Calibri" w:hAnsi="Calibri" w:cs="Calibri" w:eastAsiaTheme="minorEastAsia"/>
                <w:kern w:val="0"/>
                <w:sz w:val="21"/>
                <w:szCs w:val="21"/>
                <w:lang w:val="en-US" w:eastAsia="zh-CN" w:bidi="ar"/>
              </w:rPr>
              <w:t> </w:t>
            </w: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lang w:val="en-US"/>
              </w:rPr>
            </w:pPr>
            <w:r>
              <w:rPr>
                <w:rFonts w:hint="eastAsia" w:ascii="宋体" w:hAnsi="宋体" w:eastAsia="宋体" w:cs="宋体"/>
                <w:color w:val="000000"/>
                <w:kern w:val="0"/>
                <w:sz w:val="20"/>
                <w:szCs w:val="20"/>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黑体" w:hAnsi="黑体" w:eastAsia="黑体" w:cs="黑体"/>
          <w:sz w:val="32"/>
          <w:szCs w:val="32"/>
        </w:rPr>
      </w:pPr>
      <w:r>
        <w:rPr>
          <w:rFonts w:hint="eastAsia" w:ascii="黑体" w:hAnsi="黑体" w:eastAsia="黑体" w:cs="黑体"/>
          <w:b/>
          <w:bCs/>
          <w:sz w:val="32"/>
          <w:szCs w:val="32"/>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1</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eastAsiaTheme="minorEastAsia"/>
                <w:sz w:val="24"/>
                <w:szCs w:val="24"/>
                <w:lang w:val="en-US" w:eastAsia="zh-CN"/>
              </w:rP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黑体" w:hAnsi="黑体" w:eastAsia="黑体" w:cs="黑体"/>
          <w:sz w:val="32"/>
          <w:szCs w:val="32"/>
        </w:rPr>
      </w:pPr>
      <w:r>
        <w:rPr>
          <w:rFonts w:hint="eastAsia" w:ascii="黑体" w:hAnsi="黑体" w:eastAsia="黑体" w:cs="黑体"/>
          <w:b/>
          <w:bCs/>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hint="eastAsia" w:ascii="黑体" w:hAnsi="宋体" w:eastAsia="黑体" w:cs="黑体"/>
                <w:kern w:val="0"/>
                <w:sz w:val="20"/>
                <w:szCs w:val="20"/>
                <w:lang w:val="en-US" w:eastAsia="zh-CN" w:bidi="ar"/>
              </w:rPr>
              <w:t> 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0 </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eastAsiaTheme="minorEastAsia"/>
                <w:sz w:val="24"/>
                <w:szCs w:val="24"/>
                <w:lang w:val="en-US" w:eastAsia="zh-CN"/>
              </w:rPr>
            </w:pPr>
            <w:r>
              <w:rPr>
                <w:rFonts w:hint="eastAsia" w:ascii="宋体"/>
                <w:sz w:val="24"/>
                <w:szCs w:val="24"/>
                <w:lang w:val="en-US" w:eastAsia="zh-CN"/>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黑体" w:hAnsi="黑体" w:eastAsia="黑体" w:cs="黑体"/>
          <w:sz w:val="32"/>
          <w:szCs w:val="32"/>
        </w:rPr>
      </w:pPr>
      <w:r>
        <w:rPr>
          <w:rFonts w:hint="eastAsia" w:ascii="黑体" w:hAnsi="黑体" w:eastAsia="黑体" w:cs="黑体"/>
          <w:b/>
          <w:bCs/>
          <w:sz w:val="32"/>
          <w:szCs w:val="32"/>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default" w:ascii="Calibri" w:hAnsi="Calibri" w:cs="Calibri"/>
          <w:i w:val="0"/>
          <w:iCs w:val="0"/>
          <w:caps w:val="0"/>
          <w:color w:val="000000"/>
          <w:spacing w:val="0"/>
          <w:sz w:val="24"/>
          <w:szCs w:val="24"/>
        </w:rPr>
      </w:pPr>
      <w:r>
        <w:rPr>
          <w:rFonts w:hint="default" w:ascii="楷体_GB2312" w:hAnsi="Calibri" w:eastAsia="楷体_GB2312" w:cs="楷体_GB2312"/>
          <w:b/>
          <w:bCs/>
          <w:i w:val="0"/>
          <w:iCs w:val="0"/>
          <w:caps w:val="0"/>
          <w:color w:val="000000"/>
          <w:spacing w:val="0"/>
          <w:sz w:val="32"/>
          <w:szCs w:val="32"/>
          <w:shd w:val="clear" w:fill="FFFFFF"/>
        </w:rPr>
        <w:t>（一）存在的问题。</w:t>
      </w:r>
      <w:r>
        <w:rPr>
          <w:rFonts w:hint="default" w:ascii="仿宋_GB2312" w:hAnsi="Calibri" w:eastAsia="仿宋_GB2312" w:cs="仿宋_GB2312"/>
          <w:b/>
          <w:bCs/>
          <w:i w:val="0"/>
          <w:iCs w:val="0"/>
          <w:caps w:val="0"/>
          <w:color w:val="000000"/>
          <w:spacing w:val="0"/>
          <w:sz w:val="32"/>
          <w:szCs w:val="32"/>
          <w:shd w:val="clear" w:fill="FFFFFF"/>
        </w:rPr>
        <w:t>一是基础栏目信息更新不及时，</w:t>
      </w:r>
      <w:r>
        <w:rPr>
          <w:rFonts w:hint="default" w:ascii="仿宋_GB2312" w:hAnsi="Calibri" w:eastAsia="仿宋_GB2312" w:cs="仿宋_GB2312"/>
          <w:i w:val="0"/>
          <w:iCs w:val="0"/>
          <w:caps w:val="0"/>
          <w:color w:val="000000"/>
          <w:spacing w:val="0"/>
          <w:sz w:val="32"/>
          <w:szCs w:val="32"/>
          <w:shd w:val="clear" w:fill="FFFFFF"/>
        </w:rPr>
        <w:t>决策部署落实、行政权力运行未能做好常态化维护，存在行政许可与政务服务网公开数量不一致等问题。</w:t>
      </w:r>
      <w:r>
        <w:rPr>
          <w:rFonts w:hint="default" w:ascii="仿宋_GB2312" w:hAnsi="Calibri" w:eastAsia="仿宋_GB2312" w:cs="仿宋_GB2312"/>
          <w:b/>
          <w:bCs/>
          <w:i w:val="0"/>
          <w:iCs w:val="0"/>
          <w:caps w:val="0"/>
          <w:color w:val="000000"/>
          <w:spacing w:val="0"/>
          <w:sz w:val="32"/>
          <w:szCs w:val="32"/>
          <w:shd w:val="clear" w:fill="FFFFFF"/>
        </w:rPr>
        <w:t>二是政策解读不到位，</w:t>
      </w:r>
      <w:r>
        <w:rPr>
          <w:rFonts w:hint="default" w:ascii="仿宋_GB2312" w:hAnsi="Calibri" w:eastAsia="仿宋_GB2312" w:cs="仿宋_GB2312"/>
          <w:i w:val="0"/>
          <w:iCs w:val="0"/>
          <w:caps w:val="0"/>
          <w:color w:val="000000"/>
          <w:spacing w:val="0"/>
          <w:sz w:val="32"/>
          <w:szCs w:val="32"/>
          <w:shd w:val="clear" w:fill="FFFFFF"/>
        </w:rPr>
        <w:t>规范性文件解读大多以文字解读为主，形式单一，质量不高。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2"/>
        <w:jc w:val="both"/>
        <w:rPr>
          <w:rFonts w:hint="default" w:ascii="Calibri" w:hAnsi="Calibri" w:cs="Calibri"/>
          <w:i w:val="0"/>
          <w:iCs w:val="0"/>
          <w:caps w:val="0"/>
          <w:color w:val="000000"/>
          <w:spacing w:val="0"/>
          <w:sz w:val="24"/>
          <w:szCs w:val="24"/>
        </w:rPr>
      </w:pPr>
      <w:r>
        <w:rPr>
          <w:rFonts w:hint="default" w:ascii="楷体_GB2312" w:hAnsi="Calibri" w:eastAsia="楷体_GB2312" w:cs="楷体_GB2312"/>
          <w:b/>
          <w:bCs/>
          <w:i w:val="0"/>
          <w:iCs w:val="0"/>
          <w:caps w:val="0"/>
          <w:color w:val="000000"/>
          <w:spacing w:val="0"/>
          <w:sz w:val="32"/>
          <w:szCs w:val="32"/>
          <w:shd w:val="clear" w:fill="FFFFFF"/>
        </w:rPr>
        <w:t>（二）改进情况。</w:t>
      </w:r>
      <w:r>
        <w:rPr>
          <w:rFonts w:hint="default" w:ascii="仿宋_GB2312" w:hAnsi="Calibri" w:eastAsia="仿宋_GB2312" w:cs="仿宋_GB2312"/>
          <w:b/>
          <w:bCs/>
          <w:i w:val="0"/>
          <w:iCs w:val="0"/>
          <w:caps w:val="0"/>
          <w:color w:val="000000"/>
          <w:spacing w:val="0"/>
          <w:sz w:val="32"/>
          <w:szCs w:val="32"/>
          <w:shd w:val="clear" w:fill="FFFFFF"/>
        </w:rPr>
        <w:t>一是强化信息维护。</w:t>
      </w:r>
      <w:r>
        <w:rPr>
          <w:rFonts w:hint="default" w:ascii="仿宋_GB2312" w:hAnsi="Calibri" w:eastAsia="仿宋_GB2312" w:cs="仿宋_GB2312"/>
          <w:i w:val="0"/>
          <w:iCs w:val="0"/>
          <w:caps w:val="0"/>
          <w:color w:val="000000"/>
          <w:spacing w:val="0"/>
          <w:sz w:val="32"/>
          <w:szCs w:val="32"/>
          <w:shd w:val="clear" w:fill="FFFFFF"/>
        </w:rPr>
        <w:t>将政务公开和日常工作有机结合起来，统筹推进，局办公室确定专人负责全局政务公开工作，加强对《条例》的学习贯彻，结合公安工作实际，认真清理我局政务公开事项，规范和细化政务公开工作的内容、形式，明确各警种部门公开职责，确保及时、准确发布政务信息。</w:t>
      </w:r>
      <w:r>
        <w:rPr>
          <w:rFonts w:hint="default" w:ascii="仿宋_GB2312" w:hAnsi="Calibri" w:eastAsia="仿宋_GB2312" w:cs="仿宋_GB2312"/>
          <w:b/>
          <w:bCs/>
          <w:i w:val="0"/>
          <w:iCs w:val="0"/>
          <w:caps w:val="0"/>
          <w:color w:val="000000"/>
          <w:spacing w:val="0"/>
          <w:sz w:val="32"/>
          <w:szCs w:val="32"/>
          <w:shd w:val="clear" w:fill="FFFFFF"/>
        </w:rPr>
        <w:t>二是强化提升政策解读质效。</w:t>
      </w:r>
      <w:r>
        <w:rPr>
          <w:rFonts w:hint="default" w:ascii="仿宋_GB2312" w:hAnsi="Calibri" w:eastAsia="仿宋_GB2312" w:cs="仿宋_GB2312"/>
          <w:i w:val="0"/>
          <w:iCs w:val="0"/>
          <w:caps w:val="0"/>
          <w:color w:val="000000"/>
          <w:spacing w:val="0"/>
          <w:sz w:val="32"/>
          <w:szCs w:val="32"/>
          <w:shd w:val="clear" w:fill="FFFFFF"/>
        </w:rPr>
        <w:t>按照“谁起草、谁负责”的原则，认真梳理政策解读存在的问题，逐一对照整改。进一步创新解读形式，注重灵活多样，探索微视频、微动漫等方式提高公开内容质量和可读性。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黑体" w:hAnsi="黑体" w:eastAsia="黑体" w:cs="黑体"/>
          <w:sz w:val="32"/>
          <w:szCs w:val="32"/>
        </w:rPr>
      </w:pPr>
      <w:r>
        <w:rPr>
          <w:rFonts w:hint="eastAsia" w:ascii="黑体" w:hAnsi="黑体" w:eastAsia="黑体" w:cs="黑体"/>
          <w:b/>
          <w:bCs/>
          <w:sz w:val="32"/>
          <w:szCs w:val="32"/>
        </w:rPr>
        <w:t>六、其他需要报告的事项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default" w:ascii="Calibri" w:hAnsi="Calibri" w:cs="Calibri"/>
          <w:i w:val="0"/>
          <w:iCs w:val="0"/>
          <w:caps w:val="0"/>
          <w:color w:val="000000"/>
          <w:spacing w:val="0"/>
          <w:sz w:val="21"/>
          <w:szCs w:val="21"/>
        </w:rPr>
      </w:pPr>
      <w:r>
        <w:rPr>
          <w:rFonts w:hint="default" w:ascii="仿宋_GB2312" w:hAnsi="Calibri" w:eastAsia="仿宋_GB2312" w:cs="仿宋_GB2312"/>
          <w:i w:val="0"/>
          <w:iCs w:val="0"/>
          <w:caps w:val="0"/>
          <w:color w:val="000000"/>
          <w:spacing w:val="0"/>
          <w:kern w:val="0"/>
          <w:sz w:val="32"/>
          <w:szCs w:val="32"/>
          <w:shd w:val="clear" w:fill="FFFFFF"/>
          <w:lang w:val="en-US" w:eastAsia="zh-CN" w:bidi="ar"/>
        </w:rPr>
        <w:t>按照《国务院办公厅关于印发&lt;政府信息公开信息处理费管理办法&gt;的通知》（国办函〔2021〕109号）规定的按件、按量收费标准，本年度没有产生信息公开处理费。</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E73FA5"/>
    <w:rsid w:val="05E73FA5"/>
    <w:rsid w:val="399E1412"/>
    <w:rsid w:val="3A035DB6"/>
    <w:rsid w:val="484260C9"/>
    <w:rsid w:val="50D95A4C"/>
    <w:rsid w:val="55452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2022-01-21T03:25:00Z</dcterms:created>
  <dc:creator>Juicy's 妈咪</dc:creator>
  <cp:lastModifiedBy>Juicy's 妈咪</cp:lastModifiedBy>
  <dcterms:modified xsi:type="dcterms:W3CDTF">2022-01-28T03:05:41Z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17416E585C7B444BBF09C475B53CA18E</vt:lpwstr>
  </property>
</Properties>
</file>