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06EF">
      <w:pPr>
        <w:adjustRightInd w:val="0"/>
        <w:snapToGrid w:val="0"/>
        <w:spacing w:after="319" w:afterLines="100"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信丰县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小江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镇国土空间总体规划（2021—2035年）</w:t>
      </w:r>
    </w:p>
    <w:bookmarkEnd w:id="1"/>
    <w:p w14:paraId="38914577">
      <w:pPr>
        <w:adjustRightInd w:val="0"/>
        <w:snapToGrid w:val="0"/>
        <w:spacing w:after="319" w:afterLines="100" w:line="560" w:lineRule="exact"/>
        <w:ind w:firstLine="360" w:firstLineChars="10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重点内容概述</w:t>
      </w:r>
    </w:p>
    <w:p w14:paraId="036C3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sz w:val="30"/>
          <w:szCs w:val="30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一、规划范围</w:t>
      </w:r>
    </w:p>
    <w:p w14:paraId="4477D2E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规划范围为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小江镇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行政区范围，辖2个社区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个行政村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3个林场和1个良种场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208.19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平方公里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镇区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面积91.53公顷。</w:t>
      </w:r>
    </w:p>
    <w:p w14:paraId="332E3F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二、总体目标</w:t>
      </w:r>
    </w:p>
    <w:p w14:paraId="675D551B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2025年（近期）目标：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永久基本农田和生态保护红线得到严格落实，水系、林草、山体等生态功能得到大幅提升，资源利用水平显著提高，国土空间治理体系和治理能力进一步提升；总体空间格局初步形成，民生设施建设取得显著成效，乡村地区基本实现集约发展；现代化农业产业体系初具规模，对内对外开放水平全面提升。</w:t>
      </w:r>
    </w:p>
    <w:p w14:paraId="1AD8D7E2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2035年（远期）目标：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国土空间治理体系和治理能力全面提升，人口经济与资源环境更为协调，基本建成绿色安全、集约高效、富有竞争力和可持续发展的国土空间开发保护格局，有效支撑高质量发展。城乡发展更加协调，城乡面貌深度改善，人民生活更加美好，人的全面发展、人民共同富裕取得明显实质进展。与全省、全市、全县同步基本实现社会主义现代化，初步建成以生态农业、农副产品加工业、商贸物流业为主导的工贸型城镇。</w:t>
      </w:r>
    </w:p>
    <w:p w14:paraId="7B2C9B2A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2050年（远景）目标：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人和自然和谐共生的空间格局全面建成，全镇经济总量迈上新台阶、生态环境更加优美、城镇功能品质更加完善、城乡公共服务与现代化治理体系达到更高水平，社会主义现代化新小江全面建成。</w:t>
      </w:r>
    </w:p>
    <w:p w14:paraId="7BF369D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发展定位</w:t>
      </w:r>
    </w:p>
    <w:p w14:paraId="395B45D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信丰对接融入粤港澳大湾区的窗口乡镇、现代农业发展示范乡镇、工业小区建设先行乡镇、文旅兴旺乡镇。</w:t>
      </w:r>
    </w:p>
    <w:p w14:paraId="605C268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主体功能区定位</w:t>
      </w:r>
    </w:p>
    <w:p w14:paraId="3342C4F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落实省级空间规划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三大功能分区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体系，实施差异化发展管控措施和考核机制。根据信丰县国土空间总体规划要求，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镇为农产品主产区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AD9661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国土空间开发保护总体格局</w:t>
      </w:r>
    </w:p>
    <w:p w14:paraId="02D0562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构建镇域内“一核一轴三区多点”的国土空间总体格局。</w:t>
      </w:r>
    </w:p>
    <w:p w14:paraId="77F18EE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一核：指依托镇区形成城镇综合发展核，发挥镇区集聚功能，构建发展核心；</w:t>
      </w:r>
    </w:p>
    <w:p w14:paraId="3C16F73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一轴：指依托G105国道形成城镇统筹发展轴，沿线发展商贸物流网；</w:t>
      </w:r>
    </w:p>
    <w:p w14:paraId="6C02AC7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三区：指西部生态涵养发展区、中部工贸发展区、东部农旅结合示范区；</w:t>
      </w:r>
    </w:p>
    <w:p w14:paraId="7E4CF9C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多点：香山地质公园、脐橙产业基地、大棚蔬菜基地、老圳头围等。</w:t>
      </w:r>
    </w:p>
    <w:p w14:paraId="621BDE9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国土空间规划分区</w:t>
      </w:r>
    </w:p>
    <w:p w14:paraId="5F8C33D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国土空间的保护与修复、开发与利用两大管控属性为基础，按照主体功能定位和空间治理要求，全镇共划定生态保护区、生态控制区、农田保护区、城镇发展区、乡村发展区及矿产能源发展区六类一级规划分区；并将生态保护区、城镇发展区、乡村发展区进一步细化至二级分区。实行分区管制制度。</w:t>
      </w:r>
    </w:p>
    <w:p w14:paraId="0EA1591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国土空间重要控制线</w:t>
      </w:r>
    </w:p>
    <w:p w14:paraId="34D707B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上级下达任务要求，规划至2035年，全镇耕地保有量不低于1638.92公顷（2.4584万亩）；永久基本农田面积不低于1510.81公顷（2.2662万亩）；生态保护红线面积不低于4308.11公顷；城镇开发边界不高于62.91公顷；历史文化保护控制线4处；地质灾害隐患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处，洪涝灾害风险控制线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134.25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公顷。</w:t>
      </w:r>
    </w:p>
    <w:p w14:paraId="01B5343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镇域公共服务体系规划</w:t>
      </w:r>
    </w:p>
    <w:p w14:paraId="26575BFC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建立镇村共享的公共服务体系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划形成“乡镇级——社区（村）级”两级公共服务体系，构建层次清晰、功能复合、全龄友好、类型齐全的优质城乡公共生活圈。完善乡镇生活圈,进一步完善和提质改造乡镇便民服务中心、中学、小学、文化活动中心、全民健身中心、乡镇卫生院等，构建乡村生活圈。持续提升基层服务设施水平，合理配置小学、幼儿园、文化活动室、室外健身场地、卫生室、日间照料中心、村级服务平台等设施，形成村级公共服务中心。提升综合服务水平，全面提升医疗、教育、文化、体育、交通等方面的服务品质，兼顾对村庄的服务延伸提高生活水平，在镇区和镇域村庄内应布局相应的公共服务设施。</w:t>
      </w:r>
    </w:p>
    <w:p w14:paraId="7AE28D7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镇域综合交通规划</w:t>
      </w:r>
    </w:p>
    <w:p w14:paraId="2A25E3F7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对外交通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上级规划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交通重点项目，对G105国道改线、S456省道改扩建、X064、X062县道改造。通过寻全高速公路出入口、G105国道等主干路，强化规划范围与周边地区快速交通联系。</w:t>
      </w:r>
    </w:p>
    <w:p w14:paraId="62CBD56E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对内交通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化镇区与村庄、村庄间的道路连通。以村为单位，完善村组道路，农村居民点之间的道路形成循环回路。以镇村联动为指导，结合产业布局和旅游景点的分布，构建通畅的乡村道路体系。完善村村通公路，随着家庭汽车的普及，针对现状乡村公路通行能力不足，建议通村公路建设拓宽至4.5～6米，强化各行政村与镇区之间的联系。同时结合村庄布点规划，针对不同类型的村庄，逐步有序的完善村级通组道路。</w:t>
      </w:r>
    </w:p>
    <w:p w14:paraId="63D4E70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default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bookmarkStart w:id="0" w:name="_Toc11212"/>
      <w:r>
        <w:rPr>
          <w:rFonts w:hint="default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镇村体系布局</w:t>
      </w:r>
      <w:bookmarkEnd w:id="0"/>
    </w:p>
    <w:p w14:paraId="23C27AFA"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1.镇村等级结构</w:t>
      </w:r>
    </w:p>
    <w:p w14:paraId="55560C9B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“镇区—中心村—一般村”的镇村等级结构。</w:t>
      </w:r>
    </w:p>
    <w:p w14:paraId="0EAAF0D2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包含小江圩和小江村、圳下村、莲青村的部分区域；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中心村：包括柳塘村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山香村、中兴村、湖东村、圳下村；一般村：包含新店村、井塘村、芫坝村、新庄村、下围村、莲青村、排高村、内江村、铺下村、老圩村、罗结村、小江村。</w:t>
      </w:r>
    </w:p>
    <w:p w14:paraId="32D409A5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2.镇村职能结构</w:t>
      </w:r>
    </w:p>
    <w:p w14:paraId="2FE2083F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结合行政村发展基础及优势，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镇镇村职能划分为综合型、工贸物流型、农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型、农业种植型四类。</w:t>
      </w:r>
    </w:p>
    <w:p w14:paraId="01C0F909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综合型：具备多种职能的综合性服务中心，共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村和金鸡村。</w:t>
      </w:r>
    </w:p>
    <w:p w14:paraId="31AABF6E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工贸物流型：现代农业、工业产业和物流服务职能突出的行政村，共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个，包括新店村、小江村、莲青村。</w:t>
      </w:r>
    </w:p>
    <w:p w14:paraId="5E2640C5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型：以生态旅游、特色农业为主的行政村，共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个，包括山香村、排高村、圳下村、中兴村。</w:t>
      </w:r>
    </w:p>
    <w:p w14:paraId="2EA7CD9A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农业种植型：以脐橙、水稻、茶叶等生态种植为主的行政村，共14个，包括湖东村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柳塘村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井塘村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芫坝村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下围村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内江村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铺下村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老圩村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罗结村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九龙林场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山坑林场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跃志新林场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林木良种场。</w:t>
      </w:r>
    </w:p>
    <w:p w14:paraId="0D59FC7E"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统筹划定村庄建设边界</w:t>
      </w:r>
    </w:p>
    <w:p w14:paraId="357BAB66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划到2035年，小江镇村庄建设边界面积不超过上级下达规模590.45公顷，其中落图规模为561.03公顷，预留机动指标29.42公顷（占村庄建设用地规模的4.98%）。预留机动指标在符合用途管制规则的前提下，可用于村民居住、农村公共公益设施、零星分散的乡村文旅设施及农村一二三产业融合等发展用地。</w:t>
      </w:r>
    </w:p>
    <w:p w14:paraId="1747BF3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default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镇区</w:t>
      </w:r>
      <w:r>
        <w:rPr>
          <w:rFonts w:hint="default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规划</w:t>
      </w:r>
    </w:p>
    <w:p w14:paraId="2A0CC65C"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1.镇区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空间结构</w:t>
      </w:r>
    </w:p>
    <w:p w14:paraId="15FE7A16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镇区形成“一核一轴，一带四区”的功能空间结构。 </w:t>
      </w:r>
    </w:p>
    <w:p w14:paraId="73D3911A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一核：城镇综合服务中心，构建以文化展示、商业金融、康养休闲为主，兼具生活服务、旅游服务功能的城镇中心。</w:t>
      </w:r>
    </w:p>
    <w:p w14:paraId="742336D6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一轴：城镇协同发展轴，小江大道作为小江镇主要对外交通干道，是镇区的经济发展轴。</w:t>
      </w:r>
    </w:p>
    <w:p w14:paraId="6A27C6B8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一带：以小江河打造沿河景观带。</w:t>
      </w:r>
    </w:p>
    <w:p w14:paraId="0D0038F3">
      <w:pPr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四区：综合服务区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依托于教育、医疗、文化发展综合服务的重点区域；商贸休闲区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结合美食街打造商业街区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品质居住区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主要是完善镇区的生活服务的功能，建设高品质住宅区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统筹发展区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补充镇区的休闲功能，建设休闲游憩区</w:t>
      </w:r>
      <w:r>
        <w:rPr>
          <w:rFonts w:hint="default"/>
          <w:lang w:val="en-US" w:eastAsia="zh-CN"/>
        </w:rPr>
        <w:t>。</w:t>
      </w:r>
    </w:p>
    <w:p w14:paraId="4E428724">
      <w:pPr>
        <w:adjustRightInd w:val="0"/>
        <w:snapToGrid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2.镇区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用地布局</w:t>
      </w:r>
    </w:p>
    <w:p w14:paraId="2CA1367C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城镇开发边界内建设用地面积62.91公顷，其中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居住用地面积37.28公顷，占比59.25%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公共管理与公共服务用地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9.08公顷，占比14.42%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商业服务业用地面积7.04公顷，占比11.18%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工矿用地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0.48公顷，占比0.77%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仓储用地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0.66公顷，占比1.05%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交通运输用地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7.48公顷，占比11.89%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绿地与开敞空间用地面积0.90公顷，占比1.43%。</w:t>
      </w:r>
    </w:p>
    <w:p w14:paraId="20EC0A9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0"/>
        <w:rPr>
          <w:rFonts w:hint="default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重大建设项目</w:t>
      </w:r>
    </w:p>
    <w:p w14:paraId="57A8E03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根据国土空间总体规划分期实施要求，衔接上位规划及各行业专项规划，提出涉及交通、能源、水利、电力、环保、旅游、民生、产业等类型的重点建设项目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项，其中选址不确定性项目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1C2D458">
      <w:pPr>
        <w:rPr>
          <w:rFonts w:hint="default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C2F2370">
      <w:pPr>
        <w:pStyle w:val="2"/>
        <w:spacing w:line="240" w:lineRule="auto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pStyle w:val="11"/>
      <w:suff w:val="space"/>
      <w:lvlText w:val="第%1节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240" w:after="120"/>
      <w:jc w:val="center"/>
      <w:outlineLvl w:val="0"/>
    </w:pPr>
    <w:rPr>
      <w:rFonts w:ascii="黑体" w:hAnsi="黑体" w:eastAsia="方正小标宋简体" w:cs="宋体"/>
      <w:b/>
      <w:bCs/>
      <w:kern w:val="44"/>
      <w:sz w:val="36"/>
      <w:szCs w:val="44"/>
      <w:lang w:val="en-US" w:eastAsia="zh-CN" w:bidi="ar-SA"/>
    </w:rPr>
  </w:style>
  <w:style w:type="paragraph" w:styleId="7">
    <w:name w:val="heading 2"/>
    <w:basedOn w:val="1"/>
    <w:next w:val="1"/>
    <w:qFormat/>
    <w:uiPriority w:val="9"/>
    <w:pPr>
      <w:keepNext/>
      <w:keepLines/>
      <w:spacing w:before="240" w:after="240"/>
      <w:outlineLvl w:val="1"/>
    </w:pPr>
    <w:rPr>
      <w:rFonts w:ascii="楷体" w:hAnsi="楷体" w:eastAsia="黑体" w:cs="宋体"/>
      <w:b/>
      <w:bCs/>
      <w:kern w:val="2"/>
      <w:sz w:val="32"/>
      <w:szCs w:val="30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240" w:lineRule="auto"/>
      <w:ind w:firstLine="570" w:firstLineChars="0"/>
    </w:pPr>
    <w:rPr>
      <w:rFonts w:cs="Times New Roman"/>
      <w:bCs/>
      <w:szCs w:val="24"/>
      <w:lang w:val="zh-CN"/>
    </w:rPr>
  </w:style>
  <w:style w:type="paragraph" w:styleId="4">
    <w:name w:val="Plain Text"/>
    <w:basedOn w:val="1"/>
    <w:next w:val="5"/>
    <w:qFormat/>
    <w:uiPriority w:val="0"/>
    <w:pPr>
      <w:widowControl/>
      <w:adjustRightInd w:val="0"/>
      <w:snapToGrid w:val="0"/>
    </w:pPr>
    <w:rPr>
      <w:rFonts w:ascii="宋体" w:hAnsi="Courier New"/>
      <w:sz w:val="28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customStyle="1" w:styleId="11">
    <w:name w:val="附表标题"/>
    <w:basedOn w:val="7"/>
    <w:qFormat/>
    <w:uiPriority w:val="0"/>
    <w:pPr>
      <w:keepNext w:val="0"/>
      <w:keepLines w:val="0"/>
      <w:widowControl w:val="0"/>
      <w:numPr>
        <w:ilvl w:val="0"/>
        <w:numId w:val="2"/>
      </w:numPr>
      <w:spacing w:before="50" w:beforeLines="50" w:after="50" w:afterLines="50" w:line="400" w:lineRule="exact"/>
      <w:ind w:firstLine="420"/>
      <w:jc w:val="center"/>
    </w:pPr>
    <w:rPr>
      <w:rFonts w:ascii="Times New Roman" w:hAnsi="Times New Roman" w:cs="Times New Roman"/>
      <w:b w:val="0"/>
      <w:bCs w:val="0"/>
      <w:szCs w:val="32"/>
    </w:rPr>
  </w:style>
  <w:style w:type="paragraph" w:customStyle="1" w:styleId="12">
    <w:name w:val="附表"/>
    <w:qFormat/>
    <w:uiPriority w:val="0"/>
    <w:pPr>
      <w:spacing w:line="240" w:lineRule="auto"/>
      <w:jc w:val="center"/>
    </w:pPr>
    <w:rPr>
      <w:rFonts w:ascii="Times New Roman" w:hAnsi="Times New Roman" w:eastAsia="仿宋_GB2312" w:cs="Times New Roman"/>
      <w:bCs/>
      <w:sz w:val="21"/>
      <w:szCs w:val="32"/>
      <w:lang w:val="en-US" w:eastAsia="zh-CN" w:bidi="ar-SA"/>
    </w:rPr>
  </w:style>
  <w:style w:type="character" w:customStyle="1" w:styleId="13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2431</Words>
  <Characters>2543</Characters>
  <Paragraphs>490</Paragraphs>
  <TotalTime>6</TotalTime>
  <ScaleCrop>false</ScaleCrop>
  <LinksUpToDate>false</LinksUpToDate>
  <CharactersWithSpaces>2544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2025-02-13T01:22:00Z</dcterms:created>
  <dc:creator>寧</dc:creator>
  <cp:lastModifiedBy>云蒸霞蔚</cp:lastModifiedBy>
  <dcterms:modified xsi:type="dcterms:W3CDTF">2025-11-20T08:14:58Z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C935313054734444BA592E8019949332_13</vt:lpwstr>
  </property>
  <property fmtid="{D5CDD505-2E9C-101B-9397-08002B2CF9AE}" pid="4" name="KSOTemplateDocerSaveRecord">
    <vt:lpwstr>eyJoZGlkIjoiMjUyNzNkY2JiOWRlMmM0MGRhNzI0NDk5ZjE1NzdmNjEiLCJ1c2VySWQiOiIxMjAxMDU2NjYyIn0=</vt:lpwstr>
  </property>
</Properties>
</file>