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09056E">
      <w:pPr>
        <w:keepNext w:val="0"/>
        <w:keepLines w:val="0"/>
        <w:pageBreakBefore w:val="0"/>
        <w:widowControl w:val="0"/>
        <w:numPr>
          <w:ilvl w:val="0"/>
          <w:numId w:val="0"/>
        </w:numPr>
        <w:pBdr>
          <w:bottom w:val="single" w:color="FFFFFF" w:sz="4" w:space="30"/>
        </w:pBdr>
        <w:kinsoku/>
        <w:wordWrap/>
        <w:overflowPunct w:val="0"/>
        <w:topLinePunct w:val="0"/>
        <w:autoSpaceDE w:val="0"/>
        <w:autoSpaceDN w:val="0"/>
        <w:bidi w:val="0"/>
        <w:adjustRightInd w:val="0"/>
        <w:snapToGrid w:val="0"/>
        <w:spacing w:line="560" w:lineRule="exact"/>
        <w:contextualSpacing/>
        <w:jc w:val="center"/>
        <w:textAlignment w:val="auto"/>
        <w:outlineLvl w:val="9"/>
        <w:rPr>
          <w:rFonts w:hint="eastAsia" w:ascii="方正小标宋简体" w:hAnsi="方正小标宋简体" w:eastAsia="方正小标宋简体" w:cs="方正小标宋简体"/>
          <w:bCs/>
          <w:color w:val="000000"/>
          <w:kern w:val="2"/>
          <w:sz w:val="44"/>
          <w:szCs w:val="44"/>
          <w:shd w:val="clear" w:color="auto" w:fill="auto"/>
          <w:lang w:val="en-US" w:eastAsia="zh-CN" w:bidi="ar-SA"/>
        </w:rPr>
      </w:pPr>
      <w:bookmarkStart w:id="0" w:name="_GoBack"/>
      <w:r>
        <w:rPr>
          <w:rFonts w:hint="eastAsia" w:ascii="方正小标宋简体" w:hAnsi="方正小标宋简体" w:eastAsia="方正小标宋简体" w:cs="方正小标宋简体"/>
          <w:bCs/>
          <w:color w:val="000000"/>
          <w:kern w:val="2"/>
          <w:sz w:val="44"/>
          <w:szCs w:val="44"/>
          <w:shd w:val="clear" w:color="auto" w:fill="auto"/>
          <w:lang w:val="en-US" w:eastAsia="zh-CN" w:bidi="ar-SA"/>
        </w:rPr>
        <w:t>小江镇2025年上半年工作计划</w:t>
      </w:r>
    </w:p>
    <w:bookmarkEnd w:id="0"/>
    <w:p w14:paraId="3698B6AA">
      <w:pPr>
        <w:keepNext w:val="0"/>
        <w:keepLines w:val="0"/>
        <w:pageBreakBefore w:val="0"/>
        <w:widowControl w:val="0"/>
        <w:numPr>
          <w:ilvl w:val="0"/>
          <w:numId w:val="0"/>
        </w:numPr>
        <w:pBdr>
          <w:bottom w:val="single" w:color="FFFFFF" w:sz="4" w:space="30"/>
        </w:pBdr>
        <w:kinsoku/>
        <w:wordWrap/>
        <w:overflowPunct w:val="0"/>
        <w:topLinePunct w:val="0"/>
        <w:autoSpaceDE w:val="0"/>
        <w:autoSpaceDN w:val="0"/>
        <w:bidi w:val="0"/>
        <w:adjustRightInd w:val="0"/>
        <w:snapToGrid w:val="0"/>
        <w:spacing w:line="560" w:lineRule="exact"/>
        <w:contextualSpacing/>
        <w:jc w:val="both"/>
        <w:textAlignment w:val="auto"/>
        <w:outlineLvl w:val="9"/>
        <w:rPr>
          <w:rFonts w:hint="eastAsia" w:ascii="Times New Roman" w:hAnsi="Times New Roman" w:eastAsia="仿宋_GB2312" w:cs="仿宋_GB2312"/>
          <w:bCs/>
          <w:color w:val="000000"/>
          <w:kern w:val="2"/>
          <w:sz w:val="32"/>
          <w:szCs w:val="32"/>
          <w:shd w:val="clear" w:color="auto" w:fill="auto"/>
          <w:lang w:val="en-US" w:eastAsia="zh-CN" w:bidi="ar-SA"/>
        </w:rPr>
      </w:pPr>
    </w:p>
    <w:p w14:paraId="15AFE2B1">
      <w:pPr>
        <w:keepNext w:val="0"/>
        <w:keepLines w:val="0"/>
        <w:pageBreakBefore w:val="0"/>
        <w:widowControl w:val="0"/>
        <w:numPr>
          <w:ilvl w:val="0"/>
          <w:numId w:val="0"/>
        </w:numPr>
        <w:pBdr>
          <w:bottom w:val="single" w:color="FFFFFF" w:sz="4" w:space="30"/>
        </w:pBdr>
        <w:kinsoku/>
        <w:wordWrap/>
        <w:overflowPunct w:val="0"/>
        <w:topLinePunct w:val="0"/>
        <w:autoSpaceDE w:val="0"/>
        <w:autoSpaceDN w:val="0"/>
        <w:bidi w:val="0"/>
        <w:adjustRightInd w:val="0"/>
        <w:snapToGrid w:val="0"/>
        <w:spacing w:line="560" w:lineRule="exact"/>
        <w:ind w:left="0" w:leftChars="0" w:firstLine="640" w:firstLineChars="200"/>
        <w:contextualSpacing/>
        <w:jc w:val="both"/>
        <w:textAlignment w:val="auto"/>
        <w:outlineLvl w:val="9"/>
        <w:rPr>
          <w:rFonts w:hint="eastAsia" w:ascii="Times New Roman" w:hAnsi="Times New Roman" w:eastAsia="仿宋_GB2312" w:cs="仿宋_GB2312"/>
          <w:sz w:val="32"/>
          <w:szCs w:val="32"/>
          <w:shd w:val="clear" w:color="auto" w:fill="auto"/>
          <w:lang w:val="en-US" w:eastAsia="zh-CN"/>
        </w:rPr>
      </w:pPr>
      <w:r>
        <w:rPr>
          <w:rFonts w:hint="eastAsia" w:ascii="Times New Roman" w:hAnsi="Times New Roman" w:eastAsia="仿宋_GB2312" w:cs="仿宋_GB2312"/>
          <w:bCs/>
          <w:color w:val="000000"/>
          <w:kern w:val="2"/>
          <w:sz w:val="32"/>
          <w:szCs w:val="32"/>
          <w:shd w:val="clear" w:color="auto" w:fill="auto"/>
          <w:lang w:val="en-US" w:eastAsia="zh-CN" w:bidi="ar-SA"/>
        </w:rPr>
        <w:t>2025年是实施“十四五”规划的收官之年，也是推动小江高质量发展的关键之年，做好今年工作意义重大。总体要求是：</w:t>
      </w:r>
      <w:r>
        <w:rPr>
          <w:rFonts w:hint="eastAsia" w:ascii="黑体" w:hAnsi="黑体" w:eastAsia="黑体" w:cs="黑体"/>
          <w:sz w:val="32"/>
          <w:szCs w:val="32"/>
          <w:shd w:val="clear" w:color="auto" w:fill="auto"/>
          <w:lang w:val="en-US" w:eastAsia="zh-CN"/>
        </w:rPr>
        <w:t>以习近平新时代中国特色社会主义思想为指导，全面贯彻落实党的二十大、二十届二中、三中全会和习近平总书记考察江西重要讲话精神，聚焦“走在前、勇争先、善作为”目标要求，坚持“稳中求进”工作总基调，完整准确全面贯彻新发展理念，加快构建新发展格局，扎实推动高质量发展，进一步全面深化改革扩大开放，深入践行“把不可能变成可能、把可能做到极致、把极致变成常态”的新时代信丰攻坚精神，纵深推进“1217”总体思路落地见效，加快建设工业小区样板镇、乡村振兴示范区，为全面建设社会主义现代化信丰贡献小江力量。</w:t>
      </w:r>
      <w:r>
        <w:rPr>
          <w:rFonts w:hint="eastAsia" w:ascii="Times New Roman" w:hAnsi="Times New Roman" w:eastAsia="仿宋_GB2312" w:cs="仿宋_GB2312"/>
          <w:sz w:val="32"/>
          <w:szCs w:val="32"/>
          <w:shd w:val="clear" w:color="auto" w:fill="auto"/>
          <w:lang w:val="en-US" w:eastAsia="zh-CN"/>
        </w:rPr>
        <w:t>主要做好以下四个方面的工作：</w:t>
      </w:r>
    </w:p>
    <w:p w14:paraId="319EB05B">
      <w:pPr>
        <w:keepNext w:val="0"/>
        <w:keepLines w:val="0"/>
        <w:pageBreakBefore w:val="0"/>
        <w:widowControl w:val="0"/>
        <w:numPr>
          <w:ilvl w:val="0"/>
          <w:numId w:val="0"/>
        </w:numPr>
        <w:pBdr>
          <w:bottom w:val="single" w:color="FFFFFF" w:sz="4" w:space="30"/>
        </w:pBdr>
        <w:kinsoku/>
        <w:wordWrap/>
        <w:overflowPunct w:val="0"/>
        <w:topLinePunct w:val="0"/>
        <w:autoSpaceDE w:val="0"/>
        <w:autoSpaceDN w:val="0"/>
        <w:bidi w:val="0"/>
        <w:adjustRightInd w:val="0"/>
        <w:snapToGrid w:val="0"/>
        <w:spacing w:line="560" w:lineRule="exact"/>
        <w:ind w:left="0" w:leftChars="0" w:firstLine="640" w:firstLineChars="200"/>
        <w:contextualSpacing/>
        <w:jc w:val="both"/>
        <w:textAlignment w:val="auto"/>
        <w:outlineLvl w:val="9"/>
        <w:rPr>
          <w:rFonts w:hint="eastAsia" w:ascii="黑体" w:hAnsi="黑体" w:eastAsia="黑体" w:cs="黑体"/>
          <w:b w:val="0"/>
          <w:bCs w:val="0"/>
          <w:sz w:val="32"/>
          <w:szCs w:val="32"/>
          <w:shd w:val="clear" w:color="auto" w:fill="auto"/>
          <w:lang w:val="en-US" w:eastAsia="zh-CN"/>
        </w:rPr>
      </w:pPr>
      <w:r>
        <w:rPr>
          <w:rFonts w:hint="eastAsia" w:ascii="黑体" w:hAnsi="黑体" w:eastAsia="黑体" w:cs="黑体"/>
          <w:b w:val="0"/>
          <w:bCs w:val="0"/>
          <w:kern w:val="2"/>
          <w:sz w:val="32"/>
          <w:szCs w:val="32"/>
          <w:shd w:val="clear" w:color="auto" w:fill="auto"/>
          <w:lang w:val="en-US" w:eastAsia="zh-CN" w:bidi="ar-SA"/>
        </w:rPr>
        <w:t>一、</w:t>
      </w:r>
      <w:r>
        <w:rPr>
          <w:rFonts w:hint="eastAsia" w:ascii="黑体" w:hAnsi="黑体" w:eastAsia="黑体" w:cs="黑体"/>
          <w:b w:val="0"/>
          <w:bCs w:val="0"/>
          <w:sz w:val="32"/>
          <w:szCs w:val="32"/>
          <w:shd w:val="clear" w:color="auto" w:fill="auto"/>
          <w:lang w:val="en-US" w:eastAsia="zh-CN"/>
        </w:rPr>
        <w:t>更高质量加快产业发展，激活向前新动能</w:t>
      </w:r>
    </w:p>
    <w:p w14:paraId="2926D7B3">
      <w:pPr>
        <w:keepNext w:val="0"/>
        <w:keepLines w:val="0"/>
        <w:pageBreakBefore w:val="0"/>
        <w:widowControl w:val="0"/>
        <w:numPr>
          <w:ilvl w:val="0"/>
          <w:numId w:val="0"/>
        </w:numPr>
        <w:pBdr>
          <w:bottom w:val="single" w:color="FFFFFF" w:sz="4" w:space="30"/>
        </w:pBdr>
        <w:kinsoku/>
        <w:wordWrap/>
        <w:overflowPunct w:val="0"/>
        <w:topLinePunct w:val="0"/>
        <w:autoSpaceDE w:val="0"/>
        <w:autoSpaceDN w:val="0"/>
        <w:bidi w:val="0"/>
        <w:adjustRightInd w:val="0"/>
        <w:snapToGrid w:val="0"/>
        <w:spacing w:line="560" w:lineRule="exact"/>
        <w:ind w:left="0" w:leftChars="0" w:firstLine="643" w:firstLineChars="200"/>
        <w:contextualSpacing/>
        <w:jc w:val="both"/>
        <w:textAlignment w:val="auto"/>
        <w:outlineLvl w:val="9"/>
        <w:rPr>
          <w:rFonts w:hint="eastAsia" w:ascii="Times New Roman" w:hAnsi="Times New Roman" w:eastAsia="仿宋_GB2312" w:cs="仿宋_GB2312"/>
          <w:b/>
          <w:bCs w:val="0"/>
          <w:color w:val="000000"/>
          <w:kern w:val="2"/>
          <w:sz w:val="32"/>
          <w:szCs w:val="32"/>
          <w:shd w:val="clear" w:color="auto" w:fill="auto"/>
          <w:lang w:val="en-US" w:eastAsia="zh-CN" w:bidi="ar-SA"/>
        </w:rPr>
      </w:pPr>
      <w:r>
        <w:rPr>
          <w:rFonts w:hint="eastAsia" w:ascii="Times New Roman" w:hAnsi="Times New Roman" w:eastAsia="仿宋_GB2312" w:cs="仿宋_GB2312"/>
          <w:b/>
          <w:bCs w:val="0"/>
          <w:color w:val="000000"/>
          <w:kern w:val="2"/>
          <w:sz w:val="32"/>
          <w:szCs w:val="32"/>
          <w:shd w:val="clear" w:color="auto" w:fill="auto"/>
          <w:lang w:val="en-US" w:eastAsia="zh-CN" w:bidi="ar-SA"/>
        </w:rPr>
        <w:t>坚定不移抓好项目建设。</w:t>
      </w:r>
      <w:r>
        <w:rPr>
          <w:rFonts w:hint="eastAsia" w:ascii="Times New Roman" w:hAnsi="Times New Roman" w:eastAsia="仿宋_GB2312" w:cs="仿宋_GB2312"/>
          <w:bCs/>
          <w:color w:val="000000"/>
          <w:kern w:val="2"/>
          <w:sz w:val="32"/>
          <w:szCs w:val="32"/>
          <w:shd w:val="clear" w:color="auto" w:fill="auto"/>
          <w:lang w:val="en-US" w:eastAsia="zh-CN" w:bidi="ar-SA"/>
        </w:rPr>
        <w:t>坚持项目为王，大干项目，</w:t>
      </w:r>
      <w:r>
        <w:rPr>
          <w:rFonts w:hint="eastAsia" w:ascii="Times New Roman" w:hAnsi="Times New Roman" w:eastAsia="仿宋_GB2312" w:cs="仿宋_GB2312"/>
          <w:color w:val="auto"/>
          <w:sz w:val="32"/>
          <w:szCs w:val="32"/>
          <w:shd w:val="clear" w:color="auto" w:fill="auto"/>
          <w:rtl w:val="0"/>
          <w:lang w:val="en-US" w:eastAsia="zh-CN"/>
        </w:rPr>
        <w:t>加快盘活老圩砖厂、</w:t>
      </w:r>
      <w:r>
        <w:rPr>
          <w:rFonts w:hint="eastAsia" w:ascii="Times New Roman" w:hAnsi="Times New Roman" w:eastAsia="仿宋_GB2312" w:cs="仿宋_GB2312"/>
          <w:color w:val="000000" w:themeColor="text1"/>
          <w:sz w:val="32"/>
          <w:szCs w:val="32"/>
          <w:shd w:val="clear" w:color="auto" w:fill="auto"/>
          <w:lang w:val="en-US" w:eastAsia="zh-CN"/>
          <w14:textFill>
            <w14:solidFill>
              <w14:schemeClr w14:val="tx1"/>
            </w14:solidFill>
          </w14:textFill>
        </w:rPr>
        <w:t>井塘温氏养猪场、莲青2000平现代农业厂房等闲置资源，</w:t>
      </w:r>
      <w:r>
        <w:rPr>
          <w:rFonts w:hint="eastAsia" w:ascii="Times New Roman" w:hAnsi="Times New Roman" w:eastAsia="仿宋_GB2312" w:cs="仿宋_GB2312"/>
          <w:color w:val="auto"/>
          <w:sz w:val="32"/>
          <w:szCs w:val="32"/>
          <w:shd w:val="clear" w:color="auto" w:fill="auto"/>
          <w:rtl w:val="0"/>
          <w:lang w:val="en-US" w:eastAsia="zh-CN"/>
        </w:rPr>
        <w:t>力争再引进2-3个以上工业企业落地建成微型工业园。加快推进</w:t>
      </w:r>
      <w:r>
        <w:rPr>
          <w:rFonts w:hint="eastAsia" w:ascii="Times New Roman" w:hAnsi="Times New Roman" w:eastAsia="仿宋_GB2312" w:cs="仿宋_GB2312"/>
          <w:b w:val="0"/>
          <w:bCs/>
          <w:color w:val="auto"/>
          <w:kern w:val="2"/>
          <w:sz w:val="32"/>
          <w:szCs w:val="32"/>
          <w:shd w:val="clear" w:color="auto" w:fill="auto"/>
          <w:lang w:val="en-US" w:eastAsia="zh-CN" w:bidi="ar-SA"/>
        </w:rPr>
        <w:t>粤嘉科技项目投产、南区房地产项目开工、</w:t>
      </w:r>
      <w:r>
        <w:rPr>
          <w:rFonts w:hint="eastAsia" w:ascii="Times New Roman" w:hAnsi="Times New Roman" w:eastAsia="仿宋_GB2312" w:cs="仿宋_GB2312"/>
          <w:color w:val="auto"/>
          <w:sz w:val="32"/>
          <w:szCs w:val="32"/>
          <w:shd w:val="clear" w:color="auto" w:fill="auto"/>
          <w:rtl w:val="0"/>
          <w:lang w:val="en-US" w:eastAsia="zh-CN"/>
        </w:rPr>
        <w:t>汉本农业</w:t>
      </w:r>
      <w:r>
        <w:rPr>
          <w:rFonts w:hint="eastAsia" w:ascii="Times New Roman" w:hAnsi="Times New Roman" w:eastAsia="仿宋_GB2312" w:cs="仿宋_GB2312"/>
          <w:bCs/>
          <w:color w:val="000000"/>
          <w:kern w:val="2"/>
          <w:sz w:val="32"/>
          <w:szCs w:val="32"/>
          <w:shd w:val="clear" w:color="auto" w:fill="auto"/>
          <w:lang w:val="en-US" w:eastAsia="zh-CN" w:bidi="ar-SA"/>
        </w:rPr>
        <w:t>粮食烘干厂和</w:t>
      </w:r>
      <w:r>
        <w:rPr>
          <w:rFonts w:hint="eastAsia" w:ascii="Times New Roman" w:hAnsi="Times New Roman" w:eastAsia="仿宋_GB2312" w:cs="仿宋_GB2312"/>
          <w:b w:val="0"/>
          <w:bCs w:val="0"/>
          <w:i w:val="0"/>
          <w:iCs w:val="0"/>
          <w:caps w:val="0"/>
          <w:color w:val="000000"/>
          <w:spacing w:val="0"/>
          <w:kern w:val="2"/>
          <w:sz w:val="32"/>
          <w:szCs w:val="32"/>
          <w:shd w:val="clear" w:color="auto" w:fill="auto"/>
          <w:lang w:val="en-US" w:eastAsia="zh-CN" w:bidi="ar-SA"/>
        </w:rPr>
        <w:t>全自动大米生产线建设。</w:t>
      </w:r>
      <w:r>
        <w:rPr>
          <w:rFonts w:hint="eastAsia" w:ascii="Times New Roman" w:hAnsi="Times New Roman" w:eastAsia="仿宋_GB2312" w:cs="仿宋_GB2312"/>
          <w:color w:val="auto"/>
          <w:sz w:val="32"/>
          <w:szCs w:val="32"/>
          <w:shd w:val="clear" w:color="auto" w:fill="auto"/>
          <w:rtl w:val="0"/>
          <w:lang w:val="en-US" w:eastAsia="zh-CN"/>
        </w:rPr>
        <w:t>做强做优工业小区，力争年内培育新增1家以上入规企业，</w:t>
      </w:r>
      <w:r>
        <w:rPr>
          <w:rFonts w:hint="eastAsia" w:ascii="Times New Roman" w:hAnsi="Times New Roman" w:eastAsia="仿宋_GB2312" w:cs="仿宋_GB2312"/>
          <w:b w:val="0"/>
          <w:bCs/>
          <w:color w:val="auto"/>
          <w:kern w:val="2"/>
          <w:sz w:val="32"/>
          <w:szCs w:val="32"/>
          <w:shd w:val="clear" w:color="auto" w:fill="auto"/>
          <w:lang w:val="en-US" w:eastAsia="zh-CN" w:bidi="ar-SA"/>
        </w:rPr>
        <w:t>激发全镇经济发展新动能</w:t>
      </w:r>
      <w:r>
        <w:rPr>
          <w:rFonts w:hint="eastAsia" w:ascii="Times New Roman" w:hAnsi="Times New Roman" w:eastAsia="仿宋_GB2312" w:cs="仿宋_GB2312"/>
          <w:color w:val="auto"/>
          <w:sz w:val="32"/>
          <w:szCs w:val="32"/>
          <w:shd w:val="clear" w:color="auto" w:fill="auto"/>
          <w:rtl w:val="0"/>
          <w:lang w:val="en-US" w:eastAsia="zh-CN"/>
        </w:rPr>
        <w:t>。</w:t>
      </w:r>
      <w:r>
        <w:rPr>
          <w:rFonts w:hint="eastAsia" w:ascii="Times New Roman" w:hAnsi="Times New Roman" w:eastAsia="仿宋_GB2312" w:cs="仿宋_GB2312"/>
          <w:b/>
          <w:bCs w:val="0"/>
          <w:color w:val="000000"/>
          <w:kern w:val="2"/>
          <w:sz w:val="32"/>
          <w:szCs w:val="32"/>
          <w:shd w:val="clear" w:color="auto" w:fill="auto"/>
          <w:lang w:val="en-US" w:eastAsia="zh-CN" w:bidi="ar-SA"/>
        </w:rPr>
        <w:t>坚决打好安商招商攻坚战。</w:t>
      </w:r>
      <w:r>
        <w:rPr>
          <w:rFonts w:hint="eastAsia" w:ascii="Times New Roman" w:hAnsi="Times New Roman" w:eastAsia="仿宋_GB2312" w:cs="仿宋_GB2312"/>
          <w:color w:val="auto"/>
          <w:sz w:val="32"/>
          <w:szCs w:val="32"/>
          <w:shd w:val="clear" w:color="auto" w:fill="auto"/>
          <w:rtl w:val="0"/>
          <w:lang w:val="en-US" w:eastAsia="zh-CN"/>
        </w:rPr>
        <w:t>持续优化营商环境，开展政企连心大走访活动，</w:t>
      </w:r>
      <w:r>
        <w:rPr>
          <w:rFonts w:hint="eastAsia" w:ascii="Times New Roman" w:hAnsi="Times New Roman" w:eastAsia="仿宋_GB2312" w:cs="仿宋_GB2312"/>
          <w:bCs/>
          <w:color w:val="auto"/>
          <w:kern w:val="2"/>
          <w:sz w:val="32"/>
          <w:szCs w:val="32"/>
          <w:shd w:val="clear" w:color="auto" w:fill="auto"/>
          <w:lang w:val="en-US" w:eastAsia="zh-CN" w:bidi="ar-SA"/>
        </w:rPr>
        <w:t>帮助企业纾困解难。</w:t>
      </w:r>
      <w:r>
        <w:rPr>
          <w:rFonts w:hint="eastAsia" w:ascii="Times New Roman" w:hAnsi="Times New Roman" w:eastAsia="仿宋_GB2312" w:cs="仿宋_GB2312"/>
          <w:color w:val="auto"/>
          <w:sz w:val="32"/>
          <w:szCs w:val="32"/>
          <w:shd w:val="clear" w:color="auto" w:fill="auto"/>
          <w:rtl w:val="0"/>
          <w:lang w:val="en-US" w:eastAsia="zh-CN"/>
        </w:rPr>
        <w:t>强化用地、用工、用能、资金等要素保障，</w:t>
      </w:r>
      <w:r>
        <w:rPr>
          <w:rFonts w:hint="eastAsia" w:ascii="Times New Roman" w:hAnsi="Times New Roman" w:eastAsia="仿宋_GB2312" w:cs="仿宋_GB2312"/>
          <w:bCs/>
          <w:color w:val="auto"/>
          <w:kern w:val="2"/>
          <w:sz w:val="32"/>
          <w:szCs w:val="32"/>
          <w:shd w:val="clear" w:color="auto" w:fill="auto"/>
          <w:lang w:val="en-US" w:eastAsia="zh-CN" w:bidi="ar-SA"/>
        </w:rPr>
        <w:t>鼓励企业加大科研投入，加快科技赋能，持续指导帮扶企业完成科技型中小企业入库、高企认定。充分挖掘存量企业潜力，深入推进链式招商、以商招商，</w:t>
      </w:r>
      <w:r>
        <w:rPr>
          <w:rFonts w:hint="eastAsia" w:ascii="Times New Roman" w:hAnsi="Times New Roman" w:eastAsia="仿宋_GB2312" w:cs="仿宋_GB2312"/>
          <w:color w:val="auto"/>
          <w:sz w:val="32"/>
          <w:szCs w:val="32"/>
          <w:shd w:val="clear" w:color="auto" w:fill="auto"/>
          <w:rtl w:val="0"/>
          <w:lang w:val="en-US" w:eastAsia="zh-CN"/>
        </w:rPr>
        <w:t>招引一批投资大、经济社会效益高的项目落地小江。</w:t>
      </w:r>
      <w:r>
        <w:rPr>
          <w:rFonts w:hint="eastAsia" w:ascii="Times New Roman" w:hAnsi="Times New Roman" w:eastAsia="仿宋_GB2312" w:cs="仿宋_GB2312"/>
          <w:b/>
          <w:bCs w:val="0"/>
          <w:color w:val="000000"/>
          <w:kern w:val="2"/>
          <w:sz w:val="32"/>
          <w:szCs w:val="32"/>
          <w:shd w:val="clear" w:color="auto" w:fill="auto"/>
          <w:lang w:val="en-US" w:eastAsia="zh-CN" w:bidi="ar-SA"/>
        </w:rPr>
        <w:t>加大向上对接力度。</w:t>
      </w:r>
      <w:r>
        <w:rPr>
          <w:rFonts w:hint="eastAsia" w:ascii="Times New Roman" w:hAnsi="Times New Roman" w:eastAsia="仿宋_GB2312" w:cs="仿宋_GB2312"/>
          <w:color w:val="auto"/>
          <w:sz w:val="32"/>
          <w:szCs w:val="32"/>
          <w:shd w:val="clear" w:color="auto" w:fill="auto"/>
          <w:rtl w:val="0"/>
          <w:lang w:val="en-US" w:eastAsia="zh-CN"/>
        </w:rPr>
        <w:t>重点围绕和美乡村、基础设施提升、乡村振兴、产业发展等方面，争取项目落地实施。</w:t>
      </w:r>
    </w:p>
    <w:p w14:paraId="59D01ACD">
      <w:pPr>
        <w:keepNext w:val="0"/>
        <w:keepLines w:val="0"/>
        <w:pageBreakBefore w:val="0"/>
        <w:widowControl w:val="0"/>
        <w:numPr>
          <w:ilvl w:val="0"/>
          <w:numId w:val="0"/>
        </w:numPr>
        <w:pBdr>
          <w:bottom w:val="single" w:color="FFFFFF" w:sz="4" w:space="30"/>
        </w:pBdr>
        <w:kinsoku/>
        <w:wordWrap/>
        <w:overflowPunct w:val="0"/>
        <w:topLinePunct w:val="0"/>
        <w:autoSpaceDE w:val="0"/>
        <w:autoSpaceDN w:val="0"/>
        <w:bidi w:val="0"/>
        <w:adjustRightInd w:val="0"/>
        <w:snapToGrid w:val="0"/>
        <w:spacing w:line="560" w:lineRule="exact"/>
        <w:ind w:left="0" w:leftChars="0" w:firstLine="640" w:firstLineChars="200"/>
        <w:contextualSpacing/>
        <w:jc w:val="both"/>
        <w:textAlignment w:val="auto"/>
        <w:outlineLvl w:val="9"/>
        <w:rPr>
          <w:rFonts w:hint="eastAsia" w:ascii="黑体" w:hAnsi="黑体" w:eastAsia="黑体" w:cs="黑体"/>
          <w:b w:val="0"/>
          <w:bCs w:val="0"/>
          <w:sz w:val="32"/>
          <w:szCs w:val="32"/>
          <w:shd w:val="clear" w:color="auto" w:fill="auto"/>
          <w:lang w:val="en-US" w:eastAsia="zh-CN"/>
        </w:rPr>
      </w:pPr>
      <w:r>
        <w:rPr>
          <w:rFonts w:hint="eastAsia" w:ascii="黑体" w:hAnsi="黑体" w:eastAsia="黑体" w:cs="黑体"/>
          <w:b w:val="0"/>
          <w:bCs w:val="0"/>
          <w:sz w:val="32"/>
          <w:szCs w:val="32"/>
          <w:shd w:val="clear" w:color="auto" w:fill="auto"/>
          <w:lang w:val="en-US" w:eastAsia="zh-CN"/>
        </w:rPr>
        <w:t>二、更高标准推进乡村振兴，展现发展新作为</w:t>
      </w:r>
    </w:p>
    <w:p w14:paraId="7FF694C9">
      <w:pPr>
        <w:keepNext w:val="0"/>
        <w:keepLines w:val="0"/>
        <w:pageBreakBefore w:val="0"/>
        <w:widowControl w:val="0"/>
        <w:numPr>
          <w:ilvl w:val="0"/>
          <w:numId w:val="0"/>
        </w:numPr>
        <w:pBdr>
          <w:bottom w:val="single" w:color="FFFFFF" w:sz="4" w:space="30"/>
        </w:pBdr>
        <w:kinsoku/>
        <w:wordWrap/>
        <w:overflowPunct w:val="0"/>
        <w:topLinePunct w:val="0"/>
        <w:autoSpaceDE w:val="0"/>
        <w:autoSpaceDN w:val="0"/>
        <w:bidi w:val="0"/>
        <w:adjustRightInd w:val="0"/>
        <w:snapToGrid w:val="0"/>
        <w:spacing w:line="560" w:lineRule="exact"/>
        <w:ind w:firstLine="643" w:firstLineChars="200"/>
        <w:contextualSpacing/>
        <w:jc w:val="both"/>
        <w:textAlignment w:val="auto"/>
        <w:outlineLvl w:val="9"/>
        <w:rPr>
          <w:rFonts w:hint="default" w:ascii="Times New Roman" w:hAnsi="Times New Roman" w:eastAsia="仿宋_GB2312" w:cs="仿宋_GB2312"/>
          <w:bCs/>
          <w:color w:val="C00000"/>
          <w:kern w:val="2"/>
          <w:sz w:val="32"/>
          <w:szCs w:val="32"/>
          <w:shd w:val="clear" w:color="auto" w:fill="auto"/>
          <w:lang w:val="en-US" w:eastAsia="zh-CN" w:bidi="ar-SA"/>
        </w:rPr>
      </w:pPr>
      <w:r>
        <w:rPr>
          <w:rFonts w:hint="eastAsia" w:ascii="Times New Roman" w:hAnsi="Times New Roman" w:eastAsia="仿宋_GB2312" w:cs="仿宋_GB2312"/>
          <w:b/>
          <w:bCs w:val="0"/>
          <w:color w:val="000000"/>
          <w:kern w:val="2"/>
          <w:sz w:val="32"/>
          <w:szCs w:val="32"/>
          <w:shd w:val="clear" w:color="auto" w:fill="auto"/>
          <w:lang w:val="en-US" w:eastAsia="zh-CN" w:bidi="ar-SA"/>
        </w:rPr>
        <w:t>扛牢粮食安全主体责任。</w:t>
      </w:r>
      <w:r>
        <w:rPr>
          <w:rFonts w:hint="eastAsia" w:ascii="Times New Roman" w:hAnsi="Times New Roman" w:eastAsia="仿宋_GB2312" w:cs="仿宋_GB2312"/>
          <w:color w:val="auto"/>
          <w:sz w:val="32"/>
          <w:szCs w:val="32"/>
          <w:shd w:val="clear" w:color="auto" w:fill="auto"/>
          <w:rtl w:val="0"/>
          <w:lang w:val="en-US" w:eastAsia="zh-CN"/>
        </w:rPr>
        <w:t>坚决守牢粮食安全、耕地保护两条底线，强化种粮农民收益保障，新建、提升高标准农田1000亩以上，粮食播种面积稳定在3.8万亩以上，总产量稳定在1.3万吨以上。大力发展扶持</w:t>
      </w:r>
      <w:r>
        <w:rPr>
          <w:rFonts w:hint="eastAsia" w:ascii="Times New Roman" w:hAnsi="Times New Roman" w:eastAsia="仿宋_GB2312" w:cs="仿宋_GB2312"/>
          <w:b w:val="0"/>
          <w:bCs w:val="0"/>
          <w:i w:val="0"/>
          <w:iCs w:val="0"/>
          <w:caps w:val="0"/>
          <w:color w:val="000000"/>
          <w:spacing w:val="0"/>
          <w:kern w:val="2"/>
          <w:sz w:val="32"/>
          <w:szCs w:val="32"/>
          <w:shd w:val="clear" w:color="auto" w:fill="auto"/>
          <w:lang w:val="en-US" w:eastAsia="zh-CN" w:bidi="ar-SA"/>
        </w:rPr>
        <w:t>托管服务，</w:t>
      </w:r>
      <w:r>
        <w:rPr>
          <w:rFonts w:hint="eastAsia" w:ascii="Times New Roman" w:hAnsi="Times New Roman" w:eastAsia="仿宋_GB2312" w:cs="仿宋_GB2312"/>
          <w:color w:val="auto"/>
          <w:sz w:val="32"/>
          <w:szCs w:val="32"/>
          <w:shd w:val="clear" w:color="auto" w:fill="auto"/>
          <w:rtl w:val="0"/>
          <w:lang w:val="en-US" w:eastAsia="zh-CN"/>
        </w:rPr>
        <w:t>落实好鲸谷农业和汉本农业两大种植主体，全力打造信丰本土富硒大米品牌。</w:t>
      </w:r>
      <w:r>
        <w:rPr>
          <w:rFonts w:hint="eastAsia" w:ascii="Times New Roman" w:hAnsi="Times New Roman" w:eastAsia="仿宋_GB2312" w:cs="仿宋_GB2312"/>
          <w:b/>
          <w:bCs w:val="0"/>
          <w:color w:val="000000"/>
          <w:kern w:val="2"/>
          <w:sz w:val="32"/>
          <w:szCs w:val="32"/>
          <w:shd w:val="clear" w:color="auto" w:fill="auto"/>
          <w:lang w:val="en-US" w:eastAsia="zh-CN" w:bidi="ar-SA"/>
        </w:rPr>
        <w:t>巩固拓展脱贫攻坚成果。</w:t>
      </w:r>
      <w:r>
        <w:rPr>
          <w:rFonts w:hint="eastAsia" w:ascii="Times New Roman" w:hAnsi="Times New Roman" w:eastAsia="仿宋_GB2312" w:cs="仿宋_GB2312"/>
          <w:bCs/>
          <w:color w:val="000000"/>
          <w:kern w:val="2"/>
          <w:sz w:val="32"/>
          <w:szCs w:val="32"/>
          <w:shd w:val="clear" w:color="auto" w:fill="auto"/>
          <w:lang w:val="en-US" w:eastAsia="zh-CN" w:bidi="ar-SA"/>
        </w:rPr>
        <w:t>严格落实“四个不摘”要求，健全常态化长效化帮扶机制，加强人员动态监测管理，坚决守住不发生规模性返贫底线。抓实产业就业创业帮扶，强化联农带农益农作用，推动就业帮扶车间稳定发展，促进脱贫群众稳定增收。加强扶贫资产管理，提高衔接资金使用效益。强化易地搬迁后续扶持政策落实，精准申报扶持项目，加强社区管理，提升搬迁群众的满意度和获得感。</w:t>
      </w:r>
      <w:r>
        <w:rPr>
          <w:rFonts w:hint="eastAsia" w:ascii="Times New Roman" w:hAnsi="Times New Roman" w:eastAsia="仿宋_GB2312" w:cs="仿宋_GB2312"/>
          <w:b/>
          <w:bCs w:val="0"/>
          <w:color w:val="000000"/>
          <w:kern w:val="2"/>
          <w:sz w:val="32"/>
          <w:szCs w:val="32"/>
          <w:shd w:val="clear" w:color="auto" w:fill="auto"/>
          <w:lang w:val="en-US" w:eastAsia="zh-CN" w:bidi="ar-SA"/>
        </w:rPr>
        <w:t>夯实现代农业发展根基。</w:t>
      </w:r>
      <w:r>
        <w:rPr>
          <w:rFonts w:hint="eastAsia" w:ascii="Times New Roman" w:hAnsi="Times New Roman" w:eastAsia="仿宋_GB2312" w:cs="仿宋_GB2312"/>
          <w:bCs/>
          <w:color w:val="000000"/>
          <w:kern w:val="2"/>
          <w:sz w:val="32"/>
          <w:szCs w:val="32"/>
          <w:shd w:val="clear" w:color="auto" w:fill="auto"/>
          <w:lang w:val="en-US" w:eastAsia="zh-CN" w:bidi="ar-SA"/>
        </w:rPr>
        <w:t>积极开展富硒认证，争取创成赣州市设施蔬菜标准园，并获得优质基地奖补。积极做好柑橘黄龙病防控，推进脐橙产业健康发展。持续扩大“稻稻虾”种养模式至5000亩以上。</w:t>
      </w:r>
      <w:r>
        <w:rPr>
          <w:rFonts w:hint="eastAsia" w:ascii="Times New Roman" w:hAnsi="Times New Roman" w:eastAsia="仿宋_GB2312" w:cs="仿宋_GB2312"/>
          <w:bCs/>
          <w:color w:val="auto"/>
          <w:kern w:val="2"/>
          <w:sz w:val="32"/>
          <w:szCs w:val="32"/>
          <w:shd w:val="clear" w:color="auto" w:fill="auto"/>
          <w:lang w:val="en-US" w:eastAsia="zh-CN" w:bidi="ar-SA"/>
        </w:rPr>
        <w:t>加快推动汉本农业打造标准化富硒稻米全产业链，打造从种植到精深加工、品牌营销的增值闭环。</w:t>
      </w:r>
      <w:r>
        <w:rPr>
          <w:rFonts w:hint="eastAsia" w:ascii="Times New Roman" w:hAnsi="Times New Roman" w:eastAsia="仿宋_GB2312" w:cs="仿宋_GB2312"/>
          <w:b w:val="0"/>
          <w:bCs w:val="0"/>
          <w:i w:val="0"/>
          <w:iCs w:val="0"/>
          <w:caps w:val="0"/>
          <w:color w:val="auto"/>
          <w:spacing w:val="0"/>
          <w:kern w:val="2"/>
          <w:sz w:val="32"/>
          <w:szCs w:val="32"/>
          <w:shd w:val="clear" w:color="auto" w:fill="FFFFFF"/>
          <w:lang w:val="en-US" w:eastAsia="zh-CN" w:bidi="ar-SA"/>
        </w:rPr>
        <w:t>依托香江湾生态优势升级“露营＋”场景，培育特色主题活动，</w:t>
      </w:r>
      <w:r>
        <w:rPr>
          <w:rFonts w:hint="eastAsia" w:ascii="Times New Roman" w:hAnsi="Times New Roman" w:eastAsia="仿宋_GB2312" w:cs="仿宋_GB2312"/>
          <w:bCs/>
          <w:color w:val="auto"/>
          <w:kern w:val="2"/>
          <w:sz w:val="32"/>
          <w:szCs w:val="32"/>
          <w:shd w:val="clear" w:color="auto" w:fill="auto"/>
          <w:lang w:val="en-US" w:eastAsia="zh-CN" w:bidi="ar-SA"/>
        </w:rPr>
        <w:t>做好宣传推介与运营；</w:t>
      </w:r>
      <w:r>
        <w:rPr>
          <w:rFonts w:hint="eastAsia" w:ascii="Times New Roman" w:hAnsi="Times New Roman" w:eastAsia="仿宋_GB2312" w:cs="仿宋_GB2312"/>
          <w:b w:val="0"/>
          <w:bCs w:val="0"/>
          <w:i w:val="0"/>
          <w:iCs w:val="0"/>
          <w:caps w:val="0"/>
          <w:color w:val="auto"/>
          <w:spacing w:val="0"/>
          <w:kern w:val="2"/>
          <w:sz w:val="32"/>
          <w:szCs w:val="32"/>
          <w:shd w:val="clear" w:color="auto" w:fill="FFFFFF"/>
          <w:lang w:val="en-US" w:eastAsia="zh-CN" w:bidi="ar-SA"/>
        </w:rPr>
        <w:t>持续扩大龙之梦欢乐谷文旅项目的社会资本投入，完善乡村旅游基础设施，丰富生态漂流、跑马体验、龙虾垂钓、溯溪露营等特色业态，增强游客吸引力，</w:t>
      </w:r>
      <w:r>
        <w:rPr>
          <w:rFonts w:hint="eastAsia" w:ascii="Times New Roman" w:hAnsi="Times New Roman" w:eastAsia="仿宋_GB2312" w:cs="仿宋_GB2312"/>
          <w:bCs/>
          <w:color w:val="auto"/>
          <w:kern w:val="2"/>
          <w:sz w:val="32"/>
          <w:szCs w:val="32"/>
          <w:shd w:val="clear" w:color="auto" w:fill="auto"/>
          <w:lang w:val="en-US" w:eastAsia="zh-CN" w:bidi="ar-SA"/>
        </w:rPr>
        <w:t>打造全县农文旅融合示范高地。</w:t>
      </w:r>
    </w:p>
    <w:p w14:paraId="36202375">
      <w:pPr>
        <w:keepNext w:val="0"/>
        <w:keepLines w:val="0"/>
        <w:pageBreakBefore w:val="0"/>
        <w:widowControl w:val="0"/>
        <w:numPr>
          <w:ilvl w:val="0"/>
          <w:numId w:val="0"/>
        </w:numPr>
        <w:pBdr>
          <w:bottom w:val="single" w:color="FFFFFF" w:sz="4" w:space="30"/>
        </w:pBdr>
        <w:kinsoku/>
        <w:wordWrap/>
        <w:overflowPunct w:val="0"/>
        <w:topLinePunct w:val="0"/>
        <w:autoSpaceDE w:val="0"/>
        <w:autoSpaceDN w:val="0"/>
        <w:bidi w:val="0"/>
        <w:adjustRightInd w:val="0"/>
        <w:snapToGrid w:val="0"/>
        <w:spacing w:line="560" w:lineRule="exact"/>
        <w:ind w:left="0" w:leftChars="0" w:firstLine="640" w:firstLineChars="200"/>
        <w:contextualSpacing/>
        <w:jc w:val="both"/>
        <w:textAlignment w:val="auto"/>
        <w:outlineLvl w:val="9"/>
        <w:rPr>
          <w:rFonts w:hint="eastAsia" w:ascii="黑体" w:hAnsi="黑体" w:eastAsia="黑体" w:cs="黑体"/>
          <w:b w:val="0"/>
          <w:bCs w:val="0"/>
          <w:sz w:val="32"/>
          <w:szCs w:val="32"/>
          <w:shd w:val="clear" w:color="auto" w:fill="auto"/>
          <w:lang w:val="en-US" w:eastAsia="zh-CN"/>
        </w:rPr>
      </w:pPr>
      <w:r>
        <w:rPr>
          <w:rFonts w:hint="eastAsia" w:ascii="黑体" w:hAnsi="黑体" w:eastAsia="黑体" w:cs="黑体"/>
          <w:b w:val="0"/>
          <w:bCs w:val="0"/>
          <w:sz w:val="32"/>
          <w:szCs w:val="32"/>
          <w:shd w:val="clear" w:color="auto" w:fill="auto"/>
          <w:lang w:val="en-US" w:eastAsia="zh-CN"/>
        </w:rPr>
        <w:t>三、更高水平增进民生福祉，迈上服务新台阶</w:t>
      </w:r>
    </w:p>
    <w:p w14:paraId="591B4E42">
      <w:pPr>
        <w:keepNext w:val="0"/>
        <w:keepLines w:val="0"/>
        <w:pageBreakBefore w:val="0"/>
        <w:widowControl w:val="0"/>
        <w:numPr>
          <w:ilvl w:val="0"/>
          <w:numId w:val="0"/>
        </w:numPr>
        <w:pBdr>
          <w:bottom w:val="single" w:color="FFFFFF" w:sz="4" w:space="30"/>
        </w:pBdr>
        <w:kinsoku/>
        <w:wordWrap/>
        <w:overflowPunct w:val="0"/>
        <w:topLinePunct w:val="0"/>
        <w:autoSpaceDE w:val="0"/>
        <w:autoSpaceDN w:val="0"/>
        <w:bidi w:val="0"/>
        <w:adjustRightInd w:val="0"/>
        <w:snapToGrid w:val="0"/>
        <w:spacing w:line="560" w:lineRule="exact"/>
        <w:ind w:left="0" w:leftChars="0" w:firstLine="643" w:firstLineChars="200"/>
        <w:contextualSpacing/>
        <w:jc w:val="both"/>
        <w:textAlignment w:val="auto"/>
        <w:outlineLvl w:val="9"/>
        <w:rPr>
          <w:rFonts w:hint="eastAsia" w:ascii="Times New Roman" w:hAnsi="Times New Roman" w:eastAsia="仿宋_GB2312" w:cs="仿宋_GB2312"/>
          <w:b w:val="0"/>
          <w:bCs w:val="0"/>
          <w:color w:val="auto"/>
          <w:kern w:val="2"/>
          <w:sz w:val="32"/>
          <w:szCs w:val="32"/>
          <w:shd w:val="clear" w:color="auto" w:fill="auto"/>
          <w:lang w:val="en-US" w:eastAsia="zh-CN"/>
        </w:rPr>
      </w:pPr>
      <w:r>
        <w:rPr>
          <w:rFonts w:hint="eastAsia" w:ascii="Times New Roman" w:hAnsi="Times New Roman" w:eastAsia="仿宋_GB2312" w:cs="仿宋_GB2312"/>
          <w:b/>
          <w:bCs w:val="0"/>
          <w:color w:val="000000"/>
          <w:kern w:val="2"/>
          <w:sz w:val="32"/>
          <w:szCs w:val="32"/>
          <w:shd w:val="clear" w:color="auto" w:fill="auto"/>
          <w:lang w:val="en-US" w:eastAsia="zh-CN" w:bidi="ar-SA"/>
        </w:rPr>
        <w:t>织密扎牢社会保障网络。</w:t>
      </w:r>
      <w:r>
        <w:rPr>
          <w:rFonts w:hint="eastAsia" w:ascii="Times New Roman" w:hAnsi="Times New Roman" w:eastAsia="仿宋_GB2312" w:cs="仿宋_GB2312"/>
          <w:bCs/>
          <w:color w:val="000000"/>
          <w:kern w:val="2"/>
          <w:sz w:val="32"/>
          <w:szCs w:val="32"/>
          <w:shd w:val="clear" w:color="auto" w:fill="auto"/>
          <w:lang w:val="en-US" w:eastAsia="zh-CN" w:bidi="ar-SA"/>
        </w:rPr>
        <w:t>持续推进</w:t>
      </w:r>
      <w:r>
        <w:rPr>
          <w:rFonts w:hint="eastAsia" w:ascii="Times New Roman" w:hAnsi="Times New Roman" w:eastAsia="仿宋_GB2312" w:cs="仿宋_GB2312"/>
          <w:b w:val="0"/>
          <w:bCs/>
          <w:color w:val="000000"/>
          <w:kern w:val="2"/>
          <w:sz w:val="32"/>
          <w:szCs w:val="32"/>
          <w:shd w:val="clear" w:color="auto" w:fill="auto"/>
          <w:lang w:val="en-US" w:eastAsia="zh-CN" w:bidi="ar-SA"/>
        </w:rPr>
        <w:t>全民参保精准扩面，基本医保参保率稳定在95%以上，农村低收入人口、脱贫人口参保率稳定在99%以上。健全社会救助体系，切实做好城乡低保、特困供养、临时救助等工作。</w:t>
      </w:r>
      <w:r>
        <w:rPr>
          <w:rFonts w:hint="eastAsia" w:ascii="Times New Roman" w:hAnsi="Times New Roman" w:eastAsia="仿宋_GB2312" w:cs="仿宋_GB2312"/>
          <w:b w:val="0"/>
          <w:bCs w:val="0"/>
          <w:color w:val="auto"/>
          <w:kern w:val="0"/>
          <w:sz w:val="32"/>
          <w:szCs w:val="32"/>
          <w:highlight w:val="none"/>
          <w:shd w:val="clear" w:color="auto" w:fill="auto"/>
          <w:lang w:val="zh-CN"/>
        </w:rPr>
        <w:t>不断提升敬老院服务水平，</w:t>
      </w:r>
      <w:r>
        <w:rPr>
          <w:rFonts w:hint="eastAsia" w:ascii="Times New Roman" w:hAnsi="Times New Roman" w:eastAsia="仿宋_GB2312" w:cs="仿宋_GB2312"/>
          <w:color w:val="auto"/>
          <w:kern w:val="2"/>
          <w:sz w:val="32"/>
          <w:szCs w:val="32"/>
          <w:shd w:val="clear" w:color="auto" w:fill="auto"/>
        </w:rPr>
        <w:t>推动养老服务向全面提升老年人生活质量转变</w:t>
      </w:r>
      <w:r>
        <w:rPr>
          <w:rFonts w:hint="eastAsia" w:ascii="Times New Roman" w:hAnsi="Times New Roman" w:eastAsia="仿宋_GB2312" w:cs="仿宋_GB2312"/>
          <w:b w:val="0"/>
          <w:bCs w:val="0"/>
          <w:color w:val="auto"/>
          <w:kern w:val="0"/>
          <w:sz w:val="32"/>
          <w:szCs w:val="32"/>
          <w:highlight w:val="none"/>
          <w:shd w:val="clear" w:color="auto" w:fill="auto"/>
          <w:lang w:val="zh-CN"/>
        </w:rPr>
        <w:t>。</w:t>
      </w:r>
      <w:r>
        <w:rPr>
          <w:rFonts w:hint="eastAsia" w:ascii="Times New Roman" w:hAnsi="Times New Roman" w:eastAsia="仿宋_GB2312" w:cs="仿宋_GB2312"/>
          <w:b w:val="0"/>
          <w:bCs w:val="0"/>
          <w:color w:val="auto"/>
          <w:kern w:val="2"/>
          <w:sz w:val="32"/>
          <w:szCs w:val="32"/>
          <w:shd w:val="clear" w:color="auto" w:fill="auto"/>
          <w:lang w:val="en-US" w:eastAsia="zh-CN"/>
        </w:rPr>
        <w:t>开展农村劳动力技能培训，提升适龄农民工劳动技术水平，提升就业竞争力和工作选择性。</w:t>
      </w:r>
      <w:r>
        <w:rPr>
          <w:rFonts w:hint="eastAsia" w:ascii="Times New Roman" w:hAnsi="Times New Roman" w:eastAsia="仿宋_GB2312" w:cs="仿宋_GB2312"/>
          <w:b/>
          <w:bCs w:val="0"/>
          <w:color w:val="000000"/>
          <w:kern w:val="2"/>
          <w:sz w:val="32"/>
          <w:szCs w:val="32"/>
          <w:shd w:val="clear" w:color="auto" w:fill="auto"/>
          <w:lang w:val="en-US" w:eastAsia="zh-CN" w:bidi="ar-SA"/>
        </w:rPr>
        <w:t>加大优质公共服务供给。</w:t>
      </w:r>
      <w:r>
        <w:rPr>
          <w:rFonts w:hint="eastAsia" w:ascii="Times New Roman" w:hAnsi="Times New Roman" w:eastAsia="仿宋_GB2312" w:cs="仿宋_GB2312"/>
          <w:b w:val="0"/>
          <w:bCs w:val="0"/>
          <w:color w:val="auto"/>
          <w:kern w:val="2"/>
          <w:sz w:val="32"/>
          <w:szCs w:val="32"/>
          <w:shd w:val="clear" w:color="auto" w:fill="auto"/>
          <w:lang w:val="en-US" w:eastAsia="zh-CN"/>
        </w:rPr>
        <w:t>办好人民满意教育，扎实做好“双减”工作，全面推动义务教育优质均衡发展。扎实开展乡村医疗服务提质行动，改造提升村级卫生室，全力改善就医条件。推动优质文化资源下沉，开展移风易俗、全民健身、非遗表演等群众喜闻乐见的文体活动，丰富群众文体生活，引领文明新风尚。</w:t>
      </w:r>
      <w:r>
        <w:rPr>
          <w:rFonts w:hint="eastAsia" w:ascii="Times New Roman" w:hAnsi="Times New Roman" w:eastAsia="仿宋_GB2312" w:cs="仿宋_GB2312"/>
          <w:b/>
          <w:bCs w:val="0"/>
          <w:color w:val="000000"/>
          <w:kern w:val="2"/>
          <w:sz w:val="32"/>
          <w:szCs w:val="32"/>
          <w:shd w:val="clear" w:color="auto" w:fill="auto"/>
          <w:lang w:val="en-US" w:eastAsia="zh-CN" w:bidi="ar-SA"/>
        </w:rPr>
        <w:t>坚定不移守牢底线红线。</w:t>
      </w:r>
      <w:r>
        <w:rPr>
          <w:rFonts w:hint="eastAsia" w:ascii="Times New Roman" w:hAnsi="Times New Roman" w:eastAsia="仿宋_GB2312" w:cs="仿宋_GB2312"/>
          <w:b w:val="0"/>
          <w:bCs w:val="0"/>
          <w:color w:val="auto"/>
          <w:kern w:val="2"/>
          <w:sz w:val="32"/>
          <w:szCs w:val="32"/>
          <w:shd w:val="clear" w:color="auto" w:fill="auto"/>
          <w:lang w:val="en-US" w:eastAsia="zh-CN"/>
        </w:rPr>
        <w:t>最大限度消除安全生产隐患，突出抓好消防、道路交通、建筑施工、森林防火等重点领域安全隐患排查，夯实安全基础。做好矛盾调处前移和预防化解工作，妥善化解各类信访积案问题，提升12345政务热线服务质量。常态化开展扫黑除恶斗争，打击治理电信网络诈骗新型犯罪。做好铁路护路，杜绝各类事故发生。深化政治安全专项行动，坚决打赢意识形态斗争。</w:t>
      </w:r>
    </w:p>
    <w:p w14:paraId="3F5F12C8">
      <w:pPr>
        <w:keepNext w:val="0"/>
        <w:keepLines w:val="0"/>
        <w:pageBreakBefore w:val="0"/>
        <w:widowControl w:val="0"/>
        <w:numPr>
          <w:ilvl w:val="0"/>
          <w:numId w:val="0"/>
        </w:numPr>
        <w:pBdr>
          <w:bottom w:val="single" w:color="FFFFFF" w:sz="4" w:space="30"/>
        </w:pBdr>
        <w:kinsoku/>
        <w:wordWrap/>
        <w:overflowPunct w:val="0"/>
        <w:topLinePunct w:val="0"/>
        <w:autoSpaceDE w:val="0"/>
        <w:autoSpaceDN w:val="0"/>
        <w:bidi w:val="0"/>
        <w:adjustRightInd w:val="0"/>
        <w:snapToGrid w:val="0"/>
        <w:spacing w:line="560" w:lineRule="exact"/>
        <w:ind w:left="0" w:leftChars="0" w:firstLine="640" w:firstLineChars="200"/>
        <w:contextualSpacing/>
        <w:jc w:val="both"/>
        <w:textAlignment w:val="auto"/>
        <w:outlineLvl w:val="9"/>
        <w:rPr>
          <w:rFonts w:hint="eastAsia" w:ascii="黑体" w:hAnsi="黑体" w:eastAsia="黑体" w:cs="黑体"/>
          <w:b w:val="0"/>
          <w:bCs w:val="0"/>
          <w:sz w:val="32"/>
          <w:szCs w:val="32"/>
          <w:shd w:val="clear" w:color="auto" w:fill="auto"/>
          <w:lang w:val="en-US" w:eastAsia="zh-CN"/>
        </w:rPr>
      </w:pPr>
      <w:r>
        <w:rPr>
          <w:rFonts w:hint="eastAsia" w:ascii="黑体" w:hAnsi="黑体" w:eastAsia="黑体" w:cs="黑体"/>
          <w:b w:val="0"/>
          <w:bCs w:val="0"/>
          <w:sz w:val="32"/>
          <w:szCs w:val="32"/>
          <w:shd w:val="clear" w:color="auto" w:fill="auto"/>
          <w:lang w:val="en-US" w:eastAsia="zh-CN"/>
        </w:rPr>
        <w:t>四、更高起点提升服务质效，展现担当新风采</w:t>
      </w:r>
    </w:p>
    <w:p w14:paraId="6826834B">
      <w:pPr>
        <w:keepNext w:val="0"/>
        <w:keepLines w:val="0"/>
        <w:pageBreakBefore w:val="0"/>
        <w:widowControl w:val="0"/>
        <w:numPr>
          <w:ilvl w:val="0"/>
          <w:numId w:val="0"/>
        </w:numPr>
        <w:pBdr>
          <w:bottom w:val="single" w:color="FFFFFF" w:sz="4" w:space="30"/>
        </w:pBdr>
        <w:kinsoku/>
        <w:wordWrap/>
        <w:overflowPunct w:val="0"/>
        <w:topLinePunct w:val="0"/>
        <w:autoSpaceDE w:val="0"/>
        <w:autoSpaceDN w:val="0"/>
        <w:bidi w:val="0"/>
        <w:adjustRightInd w:val="0"/>
        <w:snapToGrid w:val="0"/>
        <w:spacing w:line="540" w:lineRule="exact"/>
        <w:ind w:firstLine="643" w:firstLineChars="200"/>
        <w:contextualSpacing/>
        <w:jc w:val="both"/>
        <w:textAlignment w:val="auto"/>
        <w:outlineLvl w:val="9"/>
        <w:rPr>
          <w:rFonts w:hint="eastAsia" w:ascii="Times New Roman" w:hAnsi="Times New Roman" w:eastAsia="仿宋_GB2312" w:cs="仿宋_GB2312"/>
          <w:b w:val="0"/>
          <w:bCs/>
          <w:color w:val="000000"/>
          <w:kern w:val="2"/>
          <w:sz w:val="32"/>
          <w:szCs w:val="32"/>
          <w:shd w:val="clear" w:color="auto" w:fill="auto"/>
          <w:lang w:val="en-US" w:eastAsia="zh-CN" w:bidi="ar-SA"/>
        </w:rPr>
      </w:pPr>
      <w:r>
        <w:rPr>
          <w:rFonts w:hint="eastAsia" w:ascii="Times New Roman" w:hAnsi="Times New Roman" w:eastAsia="仿宋_GB2312" w:cs="仿宋_GB2312"/>
          <w:b/>
          <w:bCs w:val="0"/>
          <w:color w:val="000000"/>
          <w:kern w:val="2"/>
          <w:sz w:val="32"/>
          <w:szCs w:val="32"/>
          <w:shd w:val="clear" w:color="auto" w:fill="auto"/>
          <w:lang w:val="en-US" w:eastAsia="zh-CN" w:bidi="ar-SA"/>
        </w:rPr>
        <w:t>始终保持忠诚本色。</w:t>
      </w:r>
      <w:r>
        <w:rPr>
          <w:rFonts w:hint="eastAsia" w:ascii="Times New Roman" w:hAnsi="Times New Roman" w:eastAsia="仿宋_GB2312" w:cs="仿宋_GB2312"/>
          <w:bCs/>
          <w:color w:val="000000"/>
          <w:kern w:val="2"/>
          <w:sz w:val="32"/>
          <w:szCs w:val="32"/>
          <w:shd w:val="clear" w:color="auto" w:fill="auto"/>
          <w:lang w:val="en-US" w:eastAsia="zh-CN" w:bidi="ar-SA"/>
        </w:rPr>
        <w:t>把政治建设摆在首位，严守政治纪律和政治规矩，深学笃行习近平新时代中国特色社会主义思想，全面贯彻党的二十届三中全会精神和习近平总书记考察江西重要讲话精神，深刻领悟“两个确立”的决定性意义，增强“四个意识”、坚定“四个自信”、做到“两个维护”。</w:t>
      </w:r>
      <w:r>
        <w:rPr>
          <w:rFonts w:hint="eastAsia" w:ascii="Times New Roman" w:hAnsi="Times New Roman" w:eastAsia="仿宋_GB2312" w:cs="仿宋_GB2312"/>
          <w:b/>
          <w:bCs w:val="0"/>
          <w:color w:val="000000"/>
          <w:kern w:val="2"/>
          <w:sz w:val="32"/>
          <w:szCs w:val="32"/>
          <w:shd w:val="clear" w:color="auto" w:fill="auto"/>
          <w:lang w:val="en-US" w:eastAsia="zh-CN" w:bidi="ar-SA"/>
        </w:rPr>
        <w:t>持续提升法治成色。</w:t>
      </w:r>
      <w:r>
        <w:rPr>
          <w:rFonts w:hint="eastAsia" w:ascii="Times New Roman" w:hAnsi="Times New Roman" w:eastAsia="仿宋_GB2312" w:cs="仿宋_GB2312"/>
          <w:b w:val="0"/>
          <w:bCs/>
          <w:color w:val="000000"/>
          <w:kern w:val="2"/>
          <w:sz w:val="32"/>
          <w:szCs w:val="32"/>
          <w:shd w:val="clear" w:color="auto" w:fill="auto"/>
          <w:lang w:val="en-US" w:eastAsia="zh-CN" w:bidi="ar-SA"/>
        </w:rPr>
        <w:t>自觉践行习近平法治思想，全面加强法治政府建设，严格按照法定权限和程序履行职责，严格落实重大事项向县委请示报告制度，自觉接受人大依法监督，主动接受社会监督，高质量办好人大代表建议。</w:t>
      </w:r>
      <w:r>
        <w:rPr>
          <w:rFonts w:hint="eastAsia" w:ascii="Times New Roman" w:hAnsi="Times New Roman" w:eastAsia="仿宋_GB2312" w:cs="仿宋_GB2312"/>
          <w:b/>
          <w:bCs w:val="0"/>
          <w:color w:val="000000"/>
          <w:kern w:val="2"/>
          <w:sz w:val="32"/>
          <w:szCs w:val="32"/>
          <w:shd w:val="clear" w:color="auto" w:fill="auto"/>
          <w:lang w:val="en-US" w:eastAsia="zh-CN" w:bidi="ar-SA"/>
        </w:rPr>
        <w:t>聚力彰显实干胆色。</w:t>
      </w:r>
      <w:r>
        <w:rPr>
          <w:rFonts w:hint="eastAsia" w:ascii="Times New Roman" w:hAnsi="Times New Roman" w:eastAsia="仿宋_GB2312" w:cs="仿宋_GB2312"/>
          <w:bCs/>
          <w:color w:val="000000"/>
          <w:kern w:val="2"/>
          <w:sz w:val="32"/>
          <w:szCs w:val="32"/>
          <w:shd w:val="clear" w:color="auto" w:fill="auto"/>
          <w:lang w:val="en-US" w:eastAsia="zh-CN" w:bidi="ar-SA"/>
        </w:rPr>
        <w:t>坚持目标导向、问题导向、精准导向、结果导向，将巡视整改贯穿政府抓落实全过程，确保省委巡视发现涉及小江的问题不折不扣整改到位。坚持求真务实，大力整治形式主义，全面梳理乡镇履职事项清单，推动为基层减负走深走实，确保各项工作干在实处、走在前列。</w:t>
      </w:r>
      <w:r>
        <w:rPr>
          <w:rFonts w:hint="eastAsia" w:ascii="Times New Roman" w:hAnsi="Times New Roman" w:eastAsia="仿宋_GB2312" w:cs="仿宋_GB2312"/>
          <w:b/>
          <w:bCs w:val="0"/>
          <w:color w:val="000000"/>
          <w:kern w:val="2"/>
          <w:sz w:val="32"/>
          <w:szCs w:val="32"/>
          <w:shd w:val="clear" w:color="auto" w:fill="auto"/>
          <w:lang w:val="en-US" w:eastAsia="zh-CN" w:bidi="ar-SA"/>
        </w:rPr>
        <w:t>坚决擦亮廉洁底色。</w:t>
      </w:r>
      <w:r>
        <w:rPr>
          <w:rFonts w:hint="eastAsia" w:ascii="Times New Roman" w:hAnsi="Times New Roman" w:eastAsia="仿宋_GB2312" w:cs="仿宋_GB2312"/>
          <w:bCs/>
          <w:color w:val="000000"/>
          <w:kern w:val="2"/>
          <w:sz w:val="32"/>
          <w:szCs w:val="32"/>
          <w:shd w:val="clear" w:color="auto" w:fill="auto"/>
          <w:lang w:val="en-US" w:eastAsia="zh-CN" w:bidi="ar-SA"/>
        </w:rPr>
        <w:t>扛牢全面从严治党主体责任，开展深入贯彻中央八项规定精神学习教育，聚焦主题、简约务实，不分批次、不划阶段，一体推进学查改，融入日常、抓在经常，推动党的作风持续向好。</w:t>
      </w:r>
      <w:r>
        <w:rPr>
          <w:rFonts w:hint="eastAsia" w:ascii="Times New Roman" w:hAnsi="Times New Roman" w:eastAsia="仿宋_GB2312" w:cs="仿宋_GB2312"/>
          <w:b w:val="0"/>
          <w:bCs/>
          <w:color w:val="000000"/>
          <w:kern w:val="2"/>
          <w:sz w:val="32"/>
          <w:szCs w:val="32"/>
          <w:shd w:val="clear" w:color="auto" w:fill="auto"/>
          <w:lang w:val="en-US" w:eastAsia="zh-CN" w:bidi="ar-SA"/>
        </w:rPr>
        <w:t>持之以恒正风肃纪，</w:t>
      </w:r>
      <w:r>
        <w:rPr>
          <w:rFonts w:hint="eastAsia" w:ascii="Times New Roman" w:hAnsi="Times New Roman" w:eastAsia="仿宋_GB2312" w:cs="仿宋_GB2312"/>
          <w:bCs/>
          <w:color w:val="000000"/>
          <w:kern w:val="2"/>
          <w:sz w:val="32"/>
          <w:szCs w:val="32"/>
          <w:shd w:val="clear" w:color="auto" w:fill="auto"/>
          <w:lang w:val="en-US" w:eastAsia="zh-CN" w:bidi="ar-SA"/>
        </w:rPr>
        <w:t>持续整治群众身边不正之风和腐败问题。</w:t>
      </w:r>
    </w:p>
    <w:p w14:paraId="456728A7">
      <w:pPr>
        <w:keepNext w:val="0"/>
        <w:keepLines w:val="0"/>
        <w:pageBreakBefore w:val="0"/>
        <w:widowControl w:val="0"/>
        <w:numPr>
          <w:ilvl w:val="0"/>
          <w:numId w:val="0"/>
        </w:numPr>
        <w:pBdr>
          <w:bottom w:val="single" w:color="FFFFFF" w:sz="4" w:space="30"/>
        </w:pBdr>
        <w:kinsoku/>
        <w:wordWrap/>
        <w:overflowPunct w:val="0"/>
        <w:topLinePunct w:val="0"/>
        <w:autoSpaceDE w:val="0"/>
        <w:autoSpaceDN w:val="0"/>
        <w:bidi w:val="0"/>
        <w:adjustRightInd w:val="0"/>
        <w:snapToGrid w:val="0"/>
        <w:spacing w:line="540" w:lineRule="exact"/>
        <w:ind w:left="0" w:leftChars="0" w:firstLine="640" w:firstLineChars="200"/>
        <w:contextualSpacing/>
        <w:jc w:val="both"/>
        <w:textAlignment w:val="auto"/>
        <w:outlineLvl w:val="9"/>
      </w:pPr>
      <w:r>
        <w:rPr>
          <w:rFonts w:hint="eastAsia" w:ascii="Times New Roman" w:hAnsi="Times New Roman" w:eastAsia="仿宋_GB2312" w:cs="仿宋_GB2312"/>
          <w:b w:val="0"/>
          <w:bCs/>
          <w:color w:val="000000"/>
          <w:kern w:val="2"/>
          <w:sz w:val="32"/>
          <w:szCs w:val="32"/>
          <w:shd w:val="clear" w:color="auto" w:fill="auto"/>
          <w:lang w:val="en-US" w:eastAsia="zh-CN" w:bidi="ar-SA"/>
        </w:rPr>
        <w:t>各位代表！梦虽遥，追则能达；愿虽艰，持则可圆</w:t>
      </w:r>
      <w:r>
        <w:rPr>
          <w:rFonts w:hint="eastAsia" w:ascii="Times New Roman" w:hAnsi="Times New Roman" w:eastAsia="仿宋_GB2312" w:cs="仿宋_GB2312"/>
          <w:b w:val="0"/>
          <w:bCs w:val="0"/>
          <w:color w:val="auto"/>
          <w:sz w:val="32"/>
          <w:szCs w:val="32"/>
          <w:lang w:eastAsia="zh-CN"/>
        </w:rPr>
        <w:t>。</w:t>
      </w:r>
      <w:r>
        <w:rPr>
          <w:rFonts w:hint="eastAsia" w:ascii="Times New Roman" w:hAnsi="Times New Roman" w:eastAsia="仿宋_GB2312" w:cs="仿宋_GB2312"/>
          <w:b w:val="0"/>
          <w:bCs w:val="0"/>
          <w:color w:val="auto"/>
          <w:sz w:val="32"/>
          <w:szCs w:val="32"/>
        </w:rPr>
        <w:t>让我们更加紧密地团结在以习近平同志为核心的党中央周围，在</w:t>
      </w:r>
      <w:r>
        <w:rPr>
          <w:rFonts w:hint="eastAsia" w:ascii="Times New Roman" w:hAnsi="Times New Roman" w:eastAsia="仿宋_GB2312" w:cs="仿宋_GB2312"/>
          <w:b w:val="0"/>
          <w:bCs w:val="0"/>
          <w:color w:val="auto"/>
          <w:sz w:val="32"/>
          <w:szCs w:val="32"/>
          <w:lang w:eastAsia="zh-CN"/>
        </w:rPr>
        <w:t>县委县</w:t>
      </w:r>
      <w:r>
        <w:rPr>
          <w:rFonts w:hint="eastAsia" w:ascii="Times New Roman" w:hAnsi="Times New Roman" w:eastAsia="仿宋_GB2312" w:cs="仿宋_GB2312"/>
          <w:b w:val="0"/>
          <w:bCs w:val="0"/>
          <w:color w:val="auto"/>
          <w:sz w:val="32"/>
          <w:szCs w:val="32"/>
        </w:rPr>
        <w:t>政府</w:t>
      </w:r>
      <w:r>
        <w:rPr>
          <w:rFonts w:hint="eastAsia" w:ascii="Times New Roman" w:hAnsi="Times New Roman" w:eastAsia="仿宋_GB2312" w:cs="仿宋_GB2312"/>
          <w:b w:val="0"/>
          <w:bCs w:val="0"/>
          <w:color w:val="auto"/>
          <w:sz w:val="32"/>
          <w:szCs w:val="32"/>
          <w:lang w:eastAsia="zh-CN"/>
        </w:rPr>
        <w:t>和镇党委</w:t>
      </w:r>
      <w:r>
        <w:rPr>
          <w:rFonts w:hint="eastAsia" w:ascii="Times New Roman" w:hAnsi="Times New Roman" w:eastAsia="仿宋_GB2312" w:cs="仿宋_GB2312"/>
          <w:b w:val="0"/>
          <w:bCs w:val="0"/>
          <w:color w:val="auto"/>
          <w:sz w:val="32"/>
          <w:szCs w:val="32"/>
        </w:rPr>
        <w:t>的坚强领导下，</w:t>
      </w:r>
      <w:r>
        <w:rPr>
          <w:rFonts w:hint="eastAsia" w:ascii="Times New Roman" w:hAnsi="Times New Roman" w:eastAsia="仿宋_GB2312" w:cs="仿宋_GB2312"/>
          <w:b w:val="0"/>
          <w:bCs w:val="0"/>
          <w:color w:val="auto"/>
          <w:sz w:val="32"/>
          <w:szCs w:val="32"/>
          <w:lang w:val="en-US" w:eastAsia="zh-CN"/>
        </w:rPr>
        <w:t>大力弘扬“把不可能变成可能、把可能做到极致、把极致变成常态”的新时代信丰攻坚精神，坚定信心、迎难而上、实干担当，为加快建设革命老区高质量发展示范先行区、全面建设社会主义现代化信丰贡献更多小江力量！</w:t>
      </w:r>
    </w:p>
    <w:sectPr>
      <w:pgSz w:w="11906" w:h="16838"/>
      <w:pgMar w:top="2154" w:right="1531" w:bottom="215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1424F4"/>
    <w:rsid w:val="0FED2F0D"/>
    <w:rsid w:val="1218462B"/>
    <w:rsid w:val="157029F1"/>
    <w:rsid w:val="157D1E49"/>
    <w:rsid w:val="18A432FE"/>
    <w:rsid w:val="2BCF2148"/>
    <w:rsid w:val="33735936"/>
    <w:rsid w:val="36D16C89"/>
    <w:rsid w:val="40355BA0"/>
    <w:rsid w:val="40997FE4"/>
    <w:rsid w:val="4351645C"/>
    <w:rsid w:val="475C6F4B"/>
    <w:rsid w:val="5AEC79D7"/>
    <w:rsid w:val="5E1F14B4"/>
    <w:rsid w:val="63E827CD"/>
    <w:rsid w:val="66275962"/>
    <w:rsid w:val="69F767C2"/>
    <w:rsid w:val="6BAB59F0"/>
    <w:rsid w:val="6D1424F4"/>
    <w:rsid w:val="721F583D"/>
    <w:rsid w:val="74110B13"/>
    <w:rsid w:val="794E19A1"/>
    <w:rsid w:val="7D0550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customStyle="1" w:styleId="2">
    <w:name w:val="Body Text Indent1"/>
    <w:basedOn w:val="1"/>
    <w:next w:val="3"/>
    <w:qFormat/>
    <w:uiPriority w:val="0"/>
    <w:pPr>
      <w:spacing w:after="120"/>
      <w:ind w:left="420" w:leftChars="200"/>
    </w:pPr>
  </w:style>
  <w:style w:type="paragraph" w:customStyle="1" w:styleId="3">
    <w:name w:val="Normal Indent1"/>
    <w:basedOn w:val="1"/>
    <w:qFormat/>
    <w:uiPriority w:val="0"/>
    <w:pPr>
      <w:ind w:firstLine="420" w:firstLineChars="200"/>
    </w:pPr>
    <w:rPr>
      <w:rFonts w:eastAsia="仿宋"/>
      <w:sz w:val="32"/>
    </w:rPr>
  </w:style>
  <w:style w:type="paragraph" w:styleId="4">
    <w:name w:val="Normal Indent"/>
    <w:basedOn w:val="1"/>
    <w:next w:val="1"/>
    <w:qFormat/>
    <w:uiPriority w:val="99"/>
    <w:pPr>
      <w:ind w:firstLine="420" w:firstLineChars="200"/>
    </w:pPr>
    <w:rPr>
      <w:rFonts w:eastAsia="仿宋"/>
      <w:sz w:val="32"/>
    </w:rPr>
  </w:style>
  <w:style w:type="paragraph" w:styleId="5">
    <w:name w:val="Body Text Indent"/>
    <w:basedOn w:val="4"/>
    <w:next w:val="4"/>
    <w:qFormat/>
    <w:uiPriority w:val="0"/>
    <w:pPr>
      <w:spacing w:after="120"/>
      <w:ind w:left="420" w:left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5729</Words>
  <Characters>5929</Characters>
  <Lines>0</Lines>
  <Paragraphs>0</Paragraphs>
  <TotalTime>34</TotalTime>
  <ScaleCrop>false</ScaleCrop>
  <LinksUpToDate>false</LinksUpToDate>
  <CharactersWithSpaces>5931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2025-03-21T03:10:00Z</dcterms:created>
  <dc:creator>浮生小白</dc:creator>
  <cp:lastModifiedBy>云蒸霞蔚</cp:lastModifiedBy>
  <dcterms:modified xsi:type="dcterms:W3CDTF">2025-11-20T08:06:22Z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5EAC1DD4B06F426783A198029E9742E3_13</vt:lpwstr>
  </property>
  <property fmtid="{D5CDD505-2E9C-101B-9397-08002B2CF9AE}" pid="4" name="KSOTemplateDocerSaveRecord">
    <vt:lpwstr>eyJoZGlkIjoiMjUyNzNkY2JiOWRlMmM0MGRhNzI0NDk5ZjE1NzdmNjEiLCJ1c2VySWQiOiIxMjAxMDU2NjYyIn0=</vt:lpwstr>
  </property>
</Properties>
</file>