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7211">
      <w:pPr>
        <w:jc w:val="center"/>
        <w:rPr>
          <w:rFonts w:ascii="仿宋_GB2312" w:eastAsia="仿宋_GB2312" w:cs="Times New Roman"/>
          <w:sz w:val="44"/>
          <w:szCs w:val="44"/>
          <w:highlight w:val="none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信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丰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县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  <w:lang w:eastAsia="zh-CN"/>
        </w:rPr>
        <w:t>自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  <w:lang w:eastAsia="zh-CN"/>
        </w:rPr>
        <w:t>然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资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源</w:t>
      </w:r>
      <w:r>
        <w:rPr>
          <w:rFonts w:ascii="仿宋_GB2312" w:eastAsia="仿宋_GB2312" w:cs="仿宋_GB2312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局</w:t>
      </w:r>
    </w:p>
    <w:p w14:paraId="5FBBE6CB">
      <w:pPr>
        <w:jc w:val="center"/>
        <w:rPr>
          <w:rFonts w:ascii="仿宋_GB2312" w:eastAsia="仿宋_GB2312" w:cs="Times New Roman"/>
          <w:sz w:val="44"/>
          <w:szCs w:val="44"/>
          <w:highlight w:val="none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highlight w:val="none"/>
        </w:rPr>
        <w:t>行政处罚决定书</w:t>
      </w:r>
    </w:p>
    <w:p w14:paraId="10019E23">
      <w:pPr>
        <w:pStyle w:val="3"/>
        <w:widowControl/>
        <w:kinsoku w:val="0"/>
        <w:wordWrap/>
        <w:overflowPunct w:val="0"/>
        <w:spacing w:before="0" w:beforeAutospacing="0" w:after="75" w:afterAutospacing="0" w:line="240" w:lineRule="auto"/>
        <w:jc w:val="right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行罚决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2024]023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号</w:t>
      </w:r>
    </w:p>
    <w:p w14:paraId="4F2F487C">
      <w:pPr>
        <w:pStyle w:val="3"/>
        <w:widowControl/>
        <w:spacing w:before="0" w:beforeAutospacing="0" w:after="75" w:afterAutospacing="0" w:line="240" w:lineRule="auto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被处罚人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***镇坪**村委会</w:t>
      </w:r>
    </w:p>
    <w:p w14:paraId="135A1484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：***，联系电话：********，身份证号码：36072219**********；身份证地址：信丰县***镇**村*号。</w:t>
      </w:r>
    </w:p>
    <w:p w14:paraId="5A92B57F">
      <w:pPr>
        <w:bidi w:val="0"/>
        <w:spacing w:line="240" w:lineRule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住所地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：信丰县嘉定镇***小区</w:t>
      </w:r>
    </w:p>
    <w:p w14:paraId="5D439D1F">
      <w:pPr>
        <w:pStyle w:val="3"/>
        <w:widowControl/>
        <w:spacing w:before="0" w:beforeAutospacing="0" w:after="75" w:afterAutospacing="0" w:line="240" w:lineRule="auto"/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我局于2024年6月23日对你单位违法占用土地建设</w:t>
      </w:r>
      <w:bookmarkStart w:id="0" w:name="_GoBack"/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居家养老中心</w:t>
      </w:r>
      <w:bookmarkEnd w:id="0"/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一案立案调查。经查，***镇***村村委会未经批准，于2023年12月份起擅自在信丰县***镇**村**小组违法占用土地471.29平方米[套合2022年国土变更地类数据，显示为：其他草地（未利用地）面积：187.91平方米、农村宅基地73.39平方米、坑塘水面209.99平方米]建设居家养老中心，违反了《中华人民共和国土地管理法》第四十四条的规定，属违法占地行为。</w:t>
      </w:r>
    </w:p>
    <w:p w14:paraId="6D0A827B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上述违法事实有下列证据证实：</w:t>
      </w:r>
    </w:p>
    <w:p w14:paraId="48C96133">
      <w:pPr>
        <w:bidi w:val="0"/>
        <w:spacing w:line="240" w:lineRule="auto"/>
        <w:ind w:firstLine="300" w:firstLineChars="1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1）下发《责令停止违法行为通知书》1份；下发接受调查通知书1份；2）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/>
        </w:rPr>
        <w:t>委托有资质的第三方信丰县协力勘测队和当事人（法人）到现场勘测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，做了《现场勘测笔录》1份；3）对当事人（法人）做了询问笔录；4）土地勘测定界技术报告书1份</w:t>
      </w:r>
    </w:p>
    <w:p w14:paraId="20B2F002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我局已于2024年7月7日依法向你进行了告知，你表示放弃陈述、申辩权利和听证权利。</w:t>
      </w:r>
    </w:p>
    <w:p w14:paraId="763555D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依据《中华人民共和国行政处罚法》第二十八条、《中华人民共和国土地管理法》第七十七条、《江西省实施〈中华人民共和国土地管理法〉办法》第五十八条的规定，根据当事人具有从轻处罚的表现，依据江西省自然资源关于印发《江西省自然资源行政处罚自由裁量权实施办法》《江西省自然资源常见行政处罚裁量基准（土地类）》通知的第9条第一款、第三款、第12条第二款规定，鉴于违法当事人主动减轻违法行为危害后果；积极配合调查处理，符合从轻处罚范围，建议对大塘埠镇坪石村村委会作出如下行政处罚决定：</w:t>
      </w:r>
    </w:p>
    <w:p w14:paraId="4A531164">
      <w:pPr>
        <w:spacing w:line="240" w:lineRule="auto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 xml:space="preserve">    1、责令你单位退还非法占用的土地，并没收在非法占用土地上新建的其他设施。</w:t>
      </w:r>
    </w:p>
    <w:p w14:paraId="7E292197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2、对你单位非法占用的土地471.29平方米，其中其他草地（未利用地）面积：187.91平方米和农村宅基地73.39平方米，按农用地以外的其他土地200元/㎡的标准处以罚款，罚款人民币为：52260元；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坑塘水面209.99平方米，按耕地以外的农用地450/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㎡的标准处以罚款，罚款人民币为：94495.5元。共计罚款人民币：拾肆万陆仟柒佰伍拾伍元伍角（146755.5元）。</w:t>
      </w:r>
    </w:p>
    <w:p w14:paraId="7317CDAE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行政处罚履行方式和期限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：你单位应自收到本行政处罚决定书之日起15日内至信丰县自然资源局财务股领取缴款码缴纳罚款。</w:t>
      </w:r>
    </w:p>
    <w:p w14:paraId="3F544863">
      <w:pPr>
        <w:pStyle w:val="3"/>
        <w:widowControl/>
        <w:spacing w:before="0" w:beforeAutospacing="0" w:after="75" w:afterAutospacing="0" w:line="240" w:lineRule="auto"/>
        <w:ind w:firstLine="602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本决定送达当事人，即发生法律效力。</w:t>
      </w:r>
    </w:p>
    <w:p w14:paraId="6699729F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你如不服本处罚决定，可以在收到本处罚决定书之日起60日内向信丰县人民政府申请行政复议，或者六个月内直接向信丰县人民法院提起诉讼。逾期不申请行政复议，不提起行政诉讼，又不履行本行政处罚决定的，我局将依法申请人民法院强制执行。  </w:t>
      </w:r>
    </w:p>
    <w:p w14:paraId="385B5E2A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8E7DF19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联系人：卢庚生、刘敏有</w:t>
      </w:r>
    </w:p>
    <w:p w14:paraId="7003533D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地址：信丰县府前路1号      </w:t>
      </w:r>
    </w:p>
    <w:p w14:paraId="15E6F1F9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电话：0797-3338605</w:t>
      </w:r>
    </w:p>
    <w:p w14:paraId="7AB38F6C">
      <w:pPr>
        <w:pStyle w:val="2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E68A7E8">
      <w:pPr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C0B512">
      <w:pPr>
        <w:pStyle w:val="3"/>
        <w:widowControl/>
        <w:spacing w:before="0" w:beforeAutospacing="0" w:after="75" w:afterAutospacing="0" w:line="240" w:lineRule="auto"/>
        <w:ind w:firstLine="600"/>
        <w:jc w:val="righ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信丰县自然资源局</w:t>
      </w:r>
    </w:p>
    <w:p w14:paraId="13077A40">
      <w:pPr>
        <w:spacing w:line="240" w:lineRule="auto"/>
        <w:jc w:val="righ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                                                     2024年7月14日</w:t>
      </w:r>
    </w:p>
    <w:p w14:paraId="288C0888">
      <w:pPr>
        <w:spacing w:line="240" w:lineRule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2B80A8E">
      <w:pPr>
        <w:spacing w:line="240" w:lineRule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ThmZWZkNDE4NzNiZWRiZWFmZjZlMGIxMjAwZGUifQ=="/>
  </w:docVars>
  <w:rsids>
    <w:rsidRoot w:val="09EA5DB2"/>
    <w:rsid w:val="09EA5DB2"/>
    <w:rsid w:val="19BE0436"/>
    <w:rsid w:val="301876DD"/>
    <w:rsid w:val="308977DE"/>
    <w:rsid w:val="4440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1213</Characters>
  <Lines>0</Lines>
  <Paragraphs>0</Paragraphs>
  <TotalTime>2</TotalTime>
  <ScaleCrop>false</ScaleCrop>
  <LinksUpToDate>false</LinksUpToDate>
  <CharactersWithSpaces>1290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2024-06-27T04:39:00Z</dcterms:created>
  <dc:creator>HP</dc:creator>
  <cp:lastModifiedBy>水落在远方</cp:lastModifiedBy>
  <cp:lastPrinted>2024-06-27T05:22:00Z</cp:lastPrinted>
  <dcterms:modified xsi:type="dcterms:W3CDTF">2025-02-27T07:22:08Z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604274EA603F4AC5935D2EB417639CBA_13</vt:lpwstr>
  </property>
  <property fmtid="{D5CDD505-2E9C-101B-9397-08002B2CF9AE}" pid="4" name="KSOTemplateDocerSaveRecord">
    <vt:lpwstr>eyJoZGlkIjoiODg2NzQ3MDYwMzJiNmE5NTBhMGU5YTZhOTcyZTNjMGYiLCJ1c2VySWQiOiI0NTIxNzkwMDkifQ==</vt:lpwstr>
  </property>
</Properties>
</file>