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hint="eastAsia"/>
          <w:sz w:val="21"/>
          <w:szCs w:val="21"/>
        </w:rPr>
      </w:pPr>
      <w:r>
        <w:rPr>
          <w:rFonts w:hint="eastAsia"/>
          <w:sz w:val="21"/>
          <w:szCs w:val="21"/>
        </w:rPr>
      </w:r>
      <w:r>
        <w:rPr>
          <w:rFonts w:hint="eastAsia"/>
          <w:sz w:val="21"/>
          <w:szCs w:val="21"/>
        </w:rPr>
      </w:r>
    </w:p>
    <w:p>
      <w:pPr>
        <w:keepNext w:val="false"/>
        <w:keepLines w:val="false"/>
        <w:pageBreakBefore w:val="false"/>
        <w:widowControl w:val="false"/>
        <w:pBdr/>
        <w:spacing w:line="600" w:lineRule="exact"/>
        <w:ind w:firstLine="0" w:left="0"/>
        <w:jc w:val="center"/>
        <w:rPr>
          <w:rFonts w:hint="eastAsia" w:ascii="方正小标宋简体" w:hAnsi="方正小标宋简体" w:eastAsia="方正小标宋简体" w:cs="方正小标宋简体"/>
          <w:b w:val="0"/>
          <w:bCs w:val="0"/>
          <w:sz w:val="44"/>
          <w:szCs w:val="44"/>
        </w:rPr>
      </w:pPr>
      <w:r/>
      <w:bookmarkStart w:id="0" w:name="_GoBack"/>
      <w:r/>
      <w:bookmarkEnd w:id="0"/>
      <w:r>
        <w:rPr>
          <w:rFonts w:hint="eastAsia" w:ascii="方正小标宋简体" w:hAnsi="方正小标宋简体" w:eastAsia="方正小标宋简体" w:cs="方正小标宋简体"/>
          <w:b w:val="0"/>
          <w:bCs w:val="0"/>
          <w:sz w:val="44"/>
          <w:szCs w:val="44"/>
          <w:lang w:eastAsia="zh-CN"/>
        </w:rPr>
        <w:t xml:space="preserve">关于印发《</w:t>
      </w:r>
      <w:r>
        <w:rPr>
          <w:rFonts w:hint="eastAsia" w:ascii="方正小标宋简体" w:hAnsi="方正小标宋简体" w:eastAsia="方正小标宋简体" w:cs="方正小标宋简体"/>
          <w:b w:val="0"/>
          <w:bCs w:val="0"/>
          <w:sz w:val="44"/>
          <w:szCs w:val="44"/>
        </w:rPr>
        <w:t xml:space="preserve">信丰高新区产业集群和中小企业</w:t>
      </w:r>
      <w:r>
        <w:rPr>
          <w:rFonts w:hint="eastAsia" w:ascii="方正小标宋简体" w:hAnsi="方正小标宋简体" w:eastAsia="方正小标宋简体" w:cs="方正小标宋简体"/>
          <w:b w:val="0"/>
          <w:bCs w:val="0"/>
          <w:sz w:val="44"/>
          <w:szCs w:val="44"/>
        </w:rPr>
      </w:r>
    </w:p>
    <w:p>
      <w:pPr>
        <w:keepNext w:val="false"/>
        <w:keepLines w:val="false"/>
        <w:pageBreakBefore w:val="false"/>
        <w:widowControl w:val="false"/>
        <w:pBdr/>
        <w:spacing w:line="600" w:lineRule="exact"/>
        <w:ind w:firstLine="0" w:lef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 xml:space="preserve">数字化转型试点</w:t>
      </w:r>
      <w:r>
        <w:rPr>
          <w:rFonts w:hint="eastAsia" w:ascii="方正小标宋简体" w:hAnsi="方正小标宋简体" w:eastAsia="方正小标宋简体" w:cs="方正小标宋简体"/>
          <w:b w:val="0"/>
          <w:bCs w:val="0"/>
          <w:sz w:val="44"/>
          <w:szCs w:val="44"/>
          <w:lang w:val="en-US" w:eastAsia="zh-CN"/>
        </w:rPr>
        <w:t xml:space="preserve">项目资金管理办法</w:t>
      </w:r>
      <w:r>
        <w:rPr>
          <w:rFonts w:hint="eastAsia" w:ascii="方正小标宋简体" w:hAnsi="方正小标宋简体" w:eastAsia="方正小标宋简体" w:cs="方正小标宋简体"/>
          <w:b w:val="0"/>
          <w:bCs w:val="0"/>
          <w:sz w:val="44"/>
          <w:szCs w:val="44"/>
          <w:lang w:val="en-US" w:eastAsia="zh-CN"/>
        </w:rPr>
      </w:r>
    </w:p>
    <w:p>
      <w:pPr>
        <w:keepNext w:val="false"/>
        <w:keepLines w:val="false"/>
        <w:pageBreakBefore w:val="false"/>
        <w:widowControl w:val="false"/>
        <w:pBdr/>
        <w:spacing w:line="600" w:lineRule="exact"/>
        <w:ind w:firstLine="0" w:lef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（试行）</w:t>
      </w:r>
      <w:r>
        <w:rPr>
          <w:rFonts w:hint="eastAsia" w:ascii="方正小标宋简体" w:hAnsi="方正小标宋简体" w:eastAsia="方正小标宋简体" w:cs="方正小标宋简体"/>
          <w:b w:val="0"/>
          <w:bCs w:val="0"/>
          <w:sz w:val="44"/>
          <w:szCs w:val="44"/>
          <w:lang w:eastAsia="zh-CN"/>
        </w:rPr>
        <w:t xml:space="preserve">》的通知</w:t>
      </w:r>
      <w:r>
        <w:rPr>
          <w:rFonts w:hint="eastAsia" w:ascii="方正小标宋简体" w:hAnsi="方正小标宋简体" w:eastAsia="方正小标宋简体" w:cs="方正小标宋简体"/>
          <w:b w:val="0"/>
          <w:bCs w:val="0"/>
          <w:sz w:val="44"/>
          <w:szCs w:val="44"/>
          <w:lang w:val="en-US" w:eastAsia="zh-CN"/>
        </w:rPr>
      </w:r>
    </w:p>
    <w:p>
      <w:pPr>
        <w:pBdr/>
        <w:spacing/>
        <w:ind/>
        <w:rPr>
          <w:rFonts w:hint="eastAsia"/>
          <w:sz w:val="13"/>
          <w:szCs w:val="13"/>
          <w:lang w:val="en-US" w:eastAsia="zh-CN"/>
        </w:rPr>
      </w:pPr>
      <w:r>
        <w:rPr>
          <w:rFonts w:hint="eastAsia"/>
          <w:sz w:val="13"/>
          <w:szCs w:val="13"/>
          <w:lang w:val="en-US" w:eastAsia="zh-CN"/>
        </w:rPr>
      </w:r>
      <w:r>
        <w:rPr>
          <w:rFonts w:hint="eastAsia"/>
          <w:sz w:val="13"/>
          <w:szCs w:val="13"/>
          <w:lang w:val="en-US" w:eastAsia="zh-CN"/>
        </w:rPr>
      </w:r>
    </w:p>
    <w:p>
      <w:pPr>
        <w:keepNext w:val="false"/>
        <w:keepLines w:val="false"/>
        <w:pageBreakBefore w:val="false"/>
        <w:widowControl w:val="false"/>
        <w:pBdr/>
        <w:spacing w:line="600" w:lineRule="exact"/>
        <w:ind w:firstLine="0" w:left="0"/>
        <w:rPr>
          <w:rFonts w:hint="eastAsia"/>
          <w:lang w:val="en-US" w:eastAsia="zh-CN"/>
        </w:rPr>
      </w:pPr>
      <w:r>
        <w:rPr>
          <w:rFonts w:hint="eastAsia"/>
          <w:lang w:val="en-US" w:eastAsia="zh-CN"/>
        </w:rPr>
        <w:t xml:space="preserve">各有关单位：</w:t>
      </w:r>
      <w:r>
        <w:rPr>
          <w:rFonts w:hint="eastAsia"/>
          <w:lang w:val="en-US" w:eastAsia="zh-CN"/>
        </w:rPr>
      </w:r>
    </w:p>
    <w:p>
      <w:pPr>
        <w:keepNext w:val="false"/>
        <w:keepLines w:val="false"/>
        <w:pageBreakBefore w:val="false"/>
        <w:widowControl w:val="false"/>
        <w:pBdr/>
        <w:spacing w:line="600" w:lineRule="exact"/>
        <w:ind/>
        <w:rPr>
          <w:rFonts w:hint="eastAsia"/>
          <w:lang w:val="en-US" w:eastAsia="zh-CN"/>
        </w:rPr>
      </w:pPr>
      <w:r>
        <w:rPr>
          <w:rFonts w:hint="eastAsia"/>
          <w:lang w:val="en-US" w:eastAsia="zh-CN"/>
        </w:rPr>
        <w:t xml:space="preserve">经研究，现将《信丰高新区产业集群和中小企业数字化转型试点项目资金管理办法（试行）》印发给你们，请结合实际，认真抓好贯彻落实。</w:t>
      </w:r>
      <w:r>
        <w:rPr>
          <w:rFonts w:hint="eastAsia"/>
          <w:lang w:val="en-US" w:eastAsia="zh-CN"/>
        </w:rPr>
      </w:r>
    </w:p>
    <w:p>
      <w:pPr>
        <w:pStyle w:val="692"/>
        <w:keepNext w:val="false"/>
        <w:keepLines w:val="false"/>
        <w:pageBreakBefore w:val="false"/>
        <w:widowControl w:val="false"/>
        <w:pBdr/>
        <w:spacing w:line="600" w:lineRule="exact"/>
        <w:ind/>
        <w:rPr>
          <w:rFonts w:hint="eastAsia"/>
          <w:lang w:val="en-US" w:eastAsia="zh-CN"/>
        </w:rPr>
      </w:pPr>
      <w:r>
        <w:rPr>
          <w:rFonts w:hint="eastAsia"/>
          <w:lang w:val="en-US" w:eastAsia="zh-CN"/>
        </w:rPr>
      </w:r>
      <w:r>
        <w:rPr>
          <w:rFonts w:hint="eastAsia"/>
          <w:lang w:val="en-US" w:eastAsia="zh-CN"/>
        </w:rPr>
      </w:r>
    </w:p>
    <w:p>
      <w:pPr>
        <w:pStyle w:val="692"/>
        <w:keepNext w:val="false"/>
        <w:keepLines w:val="false"/>
        <w:pageBreakBefore w:val="false"/>
        <w:widowControl w:val="false"/>
        <w:pBdr/>
        <w:spacing w:line="600" w:lineRule="exact"/>
        <w:ind w:firstLine="320" w:left="0"/>
        <w:jc w:val="center"/>
        <w:rPr>
          <w:rFonts w:hint="eastAsia" w:cs="Times New Roman"/>
          <w:sz w:val="32"/>
          <w:szCs w:val="24"/>
          <w:lang w:val="en-US" w:eastAsia="zh-CN" w:bidi="ar-SA"/>
        </w:rPr>
      </w:pPr>
      <w:r>
        <w:rPr>
          <w:rFonts w:hint="eastAsia" w:cs="Times New Roman"/>
          <w:sz w:val="32"/>
          <w:szCs w:val="24"/>
          <w:lang w:val="en-US" w:eastAsia="zh-CN" w:bidi="ar-SA"/>
        </w:rPr>
        <w:t xml:space="preserve">信丰高新区管委会     信丰县财政局     信丰县工信局</w:t>
      </w:r>
      <w:r>
        <w:rPr>
          <w:rFonts w:hint="eastAsia" w:cs="Times New Roman"/>
          <w:sz w:val="32"/>
          <w:szCs w:val="24"/>
          <w:lang w:val="en-US" w:eastAsia="zh-CN" w:bidi="ar-SA"/>
        </w:rPr>
      </w:r>
    </w:p>
    <w:p>
      <w:pPr>
        <w:pBdr/>
        <w:spacing/>
        <w:ind/>
        <w:rPr>
          <w:rFonts w:hint="eastAsia"/>
          <w:sz w:val="21"/>
          <w:szCs w:val="21"/>
          <w:lang w:val="en-US" w:eastAsia="zh-CN"/>
        </w:rPr>
      </w:pPr>
      <w:r>
        <w:rPr>
          <w:rFonts w:hint="eastAsia"/>
          <w:sz w:val="21"/>
          <w:szCs w:val="21"/>
          <w:lang w:val="en-US" w:eastAsia="zh-CN"/>
        </w:rPr>
      </w:r>
      <w:r>
        <w:rPr>
          <w:rFonts w:hint="eastAsia"/>
          <w:sz w:val="21"/>
          <w:szCs w:val="21"/>
          <w:lang w:val="en-US" w:eastAsia="zh-CN"/>
        </w:rPr>
      </w:r>
    </w:p>
    <w:p>
      <w:pPr>
        <w:pStyle w:val="692"/>
        <w:keepNext w:val="false"/>
        <w:keepLines w:val="false"/>
        <w:pageBreakBefore w:val="false"/>
        <w:widowControl w:val="false"/>
        <w:pBdr/>
        <w:spacing w:line="600" w:lineRule="exact"/>
        <w:ind/>
        <w:jc w:val="right"/>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 xml:space="preserve">2025年</w:t>
      </w:r>
      <w:r>
        <w:rPr>
          <w:rFonts w:hint="eastAsia" w:ascii="仿宋_GB2312" w:hAnsi="仿宋_GB2312" w:cs="仿宋_GB2312"/>
          <w:sz w:val="32"/>
          <w:szCs w:val="24"/>
          <w:lang w:val="en-US" w:eastAsia="zh-CN" w:bidi="ar-SA"/>
        </w:rPr>
        <w:t xml:space="preserve">9</w:t>
      </w:r>
      <w:r>
        <w:rPr>
          <w:rFonts w:hint="eastAsia" w:ascii="仿宋_GB2312" w:hAnsi="仿宋_GB2312" w:eastAsia="仿宋_GB2312" w:cs="仿宋_GB2312"/>
          <w:sz w:val="32"/>
          <w:szCs w:val="24"/>
          <w:lang w:val="en-US" w:eastAsia="zh-CN" w:bidi="ar-SA"/>
        </w:rPr>
        <w:t xml:space="preserve">月2</w:t>
      </w:r>
      <w:r>
        <w:rPr>
          <w:rFonts w:hint="eastAsia" w:ascii="仿宋_GB2312" w:hAnsi="仿宋_GB2312" w:cs="仿宋_GB2312"/>
          <w:sz w:val="32"/>
          <w:szCs w:val="24"/>
          <w:lang w:val="en-US" w:eastAsia="zh-CN" w:bidi="ar-SA"/>
        </w:rPr>
        <w:t xml:space="preserve">8</w:t>
      </w:r>
      <w:r>
        <w:rPr>
          <w:rFonts w:hint="eastAsia" w:ascii="仿宋_GB2312" w:hAnsi="仿宋_GB2312" w:eastAsia="仿宋_GB2312" w:cs="仿宋_GB2312"/>
          <w:sz w:val="32"/>
          <w:szCs w:val="24"/>
          <w:lang w:val="en-US" w:eastAsia="zh-CN" w:bidi="ar-SA"/>
        </w:rPr>
        <w:t xml:space="preserve">日    </w:t>
      </w:r>
      <w:r>
        <w:rPr>
          <w:rFonts w:hint="eastAsia" w:ascii="仿宋_GB2312" w:hAnsi="仿宋_GB2312" w:eastAsia="仿宋_GB2312" w:cs="仿宋_GB2312"/>
          <w:sz w:val="32"/>
          <w:szCs w:val="24"/>
          <w:lang w:val="en-US" w:eastAsia="zh-CN" w:bidi="ar-SA"/>
        </w:rPr>
      </w:r>
    </w:p>
    <w:p>
      <w:pPr>
        <w:keepNext w:val="false"/>
        <w:keepLines w:val="false"/>
        <w:pageBreakBefore w:val="false"/>
        <w:widowControl w:val="false"/>
        <w:pBdr/>
        <w:spacing w:line="560" w:lineRule="exact"/>
        <w:ind w:firstLine="0" w:lef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 xml:space="preserve">信丰高新区产业集群和中小企业数字化转型</w:t>
      </w:r>
      <w:r>
        <w:rPr>
          <w:rFonts w:hint="eastAsia" w:ascii="方正小标宋简体" w:hAnsi="方正小标宋简体" w:eastAsia="方正小标宋简体" w:cs="方正小标宋简体"/>
          <w:b w:val="0"/>
          <w:bCs w:val="0"/>
          <w:sz w:val="44"/>
          <w:szCs w:val="44"/>
        </w:rPr>
        <w:br/>
      </w:r>
      <w:r>
        <w:rPr>
          <w:rFonts w:hint="eastAsia" w:ascii="方正小标宋简体" w:hAnsi="方正小标宋简体" w:eastAsia="方正小标宋简体" w:cs="方正小标宋简体"/>
          <w:b w:val="0"/>
          <w:bCs w:val="0"/>
          <w:sz w:val="44"/>
          <w:szCs w:val="44"/>
        </w:rPr>
        <w:t xml:space="preserve">试点</w:t>
      </w:r>
      <w:r>
        <w:rPr>
          <w:rFonts w:hint="eastAsia" w:ascii="方正小标宋简体" w:hAnsi="方正小标宋简体" w:eastAsia="方正小标宋简体" w:cs="方正小标宋简体"/>
          <w:b w:val="0"/>
          <w:bCs w:val="0"/>
          <w:sz w:val="44"/>
          <w:szCs w:val="44"/>
          <w:lang w:val="en-US" w:eastAsia="zh-CN"/>
        </w:rPr>
        <w:t xml:space="preserve">项目资金管理办法（试行）</w:t>
      </w:r>
      <w:r>
        <w:rPr>
          <w:rFonts w:hint="eastAsia" w:ascii="方正小标宋简体" w:hAnsi="方正小标宋简体" w:eastAsia="方正小标宋简体" w:cs="方正小标宋简体"/>
          <w:b w:val="0"/>
          <w:bCs w:val="0"/>
          <w:sz w:val="44"/>
          <w:szCs w:val="44"/>
          <w:lang w:val="en-US" w:eastAsia="zh-CN"/>
        </w:rPr>
      </w:r>
    </w:p>
    <w:p>
      <w:pPr>
        <w:pBdr/>
        <w:spacing/>
        <w:ind/>
        <w:rPr>
          <w:rFonts w:hint="eastAsia"/>
          <w:lang w:val="en-US" w:eastAsia="zh-CN"/>
        </w:rPr>
      </w:pPr>
      <w:r>
        <w:rPr>
          <w:rFonts w:hint="eastAsia"/>
          <w:lang w:val="en-US" w:eastAsia="zh-CN"/>
        </w:rPr>
      </w:r>
      <w:r>
        <w:rPr>
          <w:rFonts w:hint="eastAsia"/>
          <w:lang w:val="en-US" w:eastAsia="zh-CN"/>
        </w:rPr>
      </w:r>
    </w:p>
    <w:p>
      <w:pPr>
        <w:keepNext w:val="false"/>
        <w:keepLines w:val="false"/>
        <w:pageBreakBefore w:val="false"/>
        <w:widowControl w:val="false"/>
        <w:numPr>
          <w:ilvl w:val="0"/>
          <w:numId w:val="0"/>
        </w:numPr>
        <w:pBdr/>
        <w:spacing w:after="79" w:before="79"/>
        <w:ind w:firstLine="0" w:left="0"/>
        <w:jc w:val="center"/>
        <w:outlineLvl w:val="0"/>
        <w:rPr>
          <w:rFonts w:hint="eastAsia"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第一章 总则</w:t>
      </w:r>
      <w:r>
        <w:rPr>
          <w:rFonts w:hint="eastAsia" w:ascii="黑体" w:hAnsi="宋体" w:eastAsia="黑体" w:cs="黑体"/>
          <w:color w:val="000000"/>
          <w:sz w:val="32"/>
          <w:szCs w:val="32"/>
          <w:lang w:val="en-US" w:eastAsia="zh-CN" w:bidi="ar"/>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第一条</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为规范</w:t>
      </w:r>
      <w:r>
        <w:rPr>
          <w:rFonts w:hint="eastAsia" w:ascii="仿宋_GB2312" w:hAnsi="仿宋_GB2312" w:cs="仿宋_GB2312"/>
          <w:b w:val="0"/>
          <w:bCs w:val="0"/>
          <w:sz w:val="32"/>
          <w:szCs w:val="32"/>
          <w:lang w:val="en-US" w:eastAsia="zh-CN"/>
        </w:rPr>
        <w:t xml:space="preserve">和加强信丰</w:t>
      </w:r>
      <w:r>
        <w:rPr>
          <w:rFonts w:hint="eastAsia" w:ascii="仿宋_GB2312" w:hAnsi="仿宋_GB2312" w:eastAsia="仿宋_GB2312" w:cs="仿宋_GB2312"/>
          <w:b w:val="0"/>
          <w:bCs w:val="0"/>
          <w:sz w:val="32"/>
          <w:szCs w:val="32"/>
          <w:lang w:val="en-US" w:eastAsia="zh-CN"/>
        </w:rPr>
        <w:t xml:space="preserve">高新区产业集群和中小企业数字化转型试点专项资金</w:t>
      </w:r>
      <w:r>
        <w:rPr>
          <w:rFonts w:hint="eastAsia" w:ascii="仿宋_GB2312" w:hAnsi="仿宋_GB2312" w:cs="仿宋_GB2312"/>
          <w:b w:val="0"/>
          <w:bCs w:val="0"/>
          <w:sz w:val="32"/>
          <w:szCs w:val="32"/>
          <w:lang w:val="en-US" w:eastAsia="zh-CN"/>
        </w:rPr>
        <w:t xml:space="preserve">的</w:t>
      </w:r>
      <w:r>
        <w:rPr>
          <w:rFonts w:hint="eastAsia" w:ascii="仿宋_GB2312" w:hAnsi="仿宋_GB2312" w:eastAsia="仿宋_GB2312" w:cs="仿宋_GB2312"/>
          <w:b w:val="0"/>
          <w:bCs w:val="0"/>
          <w:sz w:val="32"/>
          <w:szCs w:val="32"/>
          <w:lang w:val="en-US" w:eastAsia="zh-CN"/>
        </w:rPr>
        <w:t xml:space="preserve">管理</w:t>
      </w:r>
      <w:r>
        <w:rPr>
          <w:rFonts w:hint="eastAsia" w:ascii="仿宋_GB2312" w:hAnsi="仿宋_GB2312" w:cs="仿宋_GB2312"/>
          <w:b w:val="0"/>
          <w:bCs w:val="0"/>
          <w:sz w:val="32"/>
          <w:szCs w:val="32"/>
          <w:lang w:val="en-US" w:eastAsia="zh-CN"/>
        </w:rPr>
        <w:t xml:space="preserve">和使用</w:t>
      </w:r>
      <w:r>
        <w:rPr>
          <w:rFonts w:hint="eastAsia" w:ascii="仿宋_GB2312" w:hAnsi="仿宋_GB2312" w:eastAsia="仿宋_GB2312" w:cs="仿宋_GB2312"/>
          <w:b w:val="0"/>
          <w:bCs w:val="0"/>
          <w:sz w:val="32"/>
          <w:szCs w:val="32"/>
          <w:lang w:val="en-US" w:eastAsia="zh-CN"/>
        </w:rPr>
        <w:t xml:space="preserve">，提高资金使用</w:t>
      </w:r>
      <w:r>
        <w:rPr>
          <w:rFonts w:hint="eastAsia" w:ascii="仿宋_GB2312" w:hAnsi="仿宋_GB2312" w:cs="仿宋_GB2312"/>
          <w:b w:val="0"/>
          <w:bCs w:val="0"/>
          <w:sz w:val="32"/>
          <w:szCs w:val="32"/>
          <w:lang w:val="en-US" w:eastAsia="zh-CN"/>
        </w:rPr>
        <w:t xml:space="preserve">效率</w:t>
      </w:r>
      <w:r>
        <w:rPr>
          <w:rFonts w:hint="eastAsia" w:ascii="仿宋_GB2312" w:hAnsi="仿宋_GB2312" w:eastAsia="仿宋_GB2312" w:cs="仿宋_GB2312"/>
          <w:b w:val="0"/>
          <w:bCs w:val="0"/>
          <w:sz w:val="32"/>
          <w:szCs w:val="32"/>
          <w:lang w:val="en-US" w:eastAsia="zh-CN"/>
        </w:rPr>
        <w:t xml:space="preserve">，根据《江西省财政厅 江西省工业和信息化厅关于开展产业集群和中小企业数字化转型试点工作的通知》（赣财建〔2023〕22号）</w:t>
      </w:r>
      <w:r>
        <w:rPr>
          <w:rFonts w:hint="eastAsia" w:ascii="仿宋_GB2312" w:hAnsi="仿宋_GB2312" w:cs="仿宋_GB2312"/>
          <w:b w:val="0"/>
          <w:bCs w:val="0"/>
          <w:sz w:val="32"/>
          <w:szCs w:val="32"/>
          <w:lang w:val="en-US" w:eastAsia="zh-CN"/>
        </w:rPr>
        <w:t xml:space="preserve">、</w:t>
      </w:r>
      <w:r>
        <w:rPr>
          <w:rFonts w:hint="eastAsia" w:ascii="仿宋_GB2312" w:hAnsi="仿宋_GB2312" w:cs="仿宋_GB2312"/>
          <w:b w:val="0"/>
          <w:bCs w:val="0"/>
          <w:color w:val="auto"/>
          <w:sz w:val="32"/>
          <w:szCs w:val="32"/>
          <w:lang w:val="en-US" w:eastAsia="zh-CN"/>
        </w:rPr>
        <w:t xml:space="preserve">《信丰高新区产业集群和中小企业数字化转型试点实施方案》</w:t>
      </w:r>
      <w:r>
        <w:rPr>
          <w:rFonts w:hint="eastAsia" w:ascii="仿宋_GB2312" w:hAnsi="仿宋_GB2312" w:eastAsia="仿宋_GB2312" w:cs="仿宋_GB2312"/>
          <w:b w:val="0"/>
          <w:bCs w:val="0"/>
          <w:sz w:val="32"/>
          <w:szCs w:val="32"/>
          <w:lang w:val="en-US" w:eastAsia="zh-CN"/>
        </w:rPr>
        <w:t xml:space="preserve">等文件精神，结合</w:t>
      </w:r>
      <w:r>
        <w:rPr>
          <w:rFonts w:hint="eastAsia" w:ascii="仿宋_GB2312" w:hAnsi="仿宋_GB2312" w:cs="仿宋_GB2312"/>
          <w:b w:val="0"/>
          <w:bCs w:val="0"/>
          <w:sz w:val="32"/>
          <w:szCs w:val="32"/>
          <w:lang w:val="en-US" w:eastAsia="zh-CN"/>
        </w:rPr>
        <w:t xml:space="preserve">信丰</w:t>
      </w:r>
      <w:r>
        <w:rPr>
          <w:rFonts w:hint="eastAsia" w:ascii="仿宋_GB2312" w:hAnsi="仿宋_GB2312" w:eastAsia="仿宋_GB2312" w:cs="仿宋_GB2312"/>
          <w:b w:val="0"/>
          <w:bCs w:val="0"/>
          <w:sz w:val="32"/>
          <w:szCs w:val="32"/>
          <w:lang w:val="en-US" w:eastAsia="zh-CN"/>
        </w:rPr>
        <w:t xml:space="preserve">高新区实际，特制定本办法。</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第二条 </w:t>
      </w:r>
      <w:r>
        <w:rPr>
          <w:rFonts w:hint="eastAsia" w:ascii="仿宋_GB2312" w:hAnsi="仿宋_GB2312" w:eastAsia="仿宋_GB2312" w:cs="仿宋_GB2312"/>
          <w:b w:val="0"/>
          <w:bCs w:val="0"/>
          <w:sz w:val="32"/>
          <w:szCs w:val="32"/>
          <w:lang w:val="en-US" w:eastAsia="zh-CN"/>
        </w:rPr>
        <w:t xml:space="preserve">本办法所称的信丰高新区产业集群和中小企业数字化转型试点专项资金（以下简称“专项资金”）是指由省级工业发展专项资金、县级财政通过工业倍增升级、制造业数字化转型、建设</w:t>
      </w:r>
      <w:r>
        <w:rPr>
          <w:rFonts w:hint="eastAsia" w:ascii="仿宋_GB2312" w:hAnsi="仿宋_GB2312" w:cs="仿宋_GB2312"/>
          <w:b w:val="0"/>
          <w:bCs w:val="0"/>
          <w:sz w:val="32"/>
          <w:szCs w:val="32"/>
          <w:lang w:val="en-US" w:eastAsia="zh-CN"/>
        </w:rPr>
        <w:t xml:space="preserve">国家</w:t>
      </w:r>
      <w:r>
        <w:rPr>
          <w:rFonts w:hint="eastAsia" w:ascii="仿宋_GB2312" w:hAnsi="仿宋_GB2312" w:eastAsia="仿宋_GB2312" w:cs="仿宋_GB2312"/>
          <w:b w:val="0"/>
          <w:bCs w:val="0"/>
          <w:sz w:val="32"/>
          <w:szCs w:val="32"/>
          <w:lang w:val="en-US" w:eastAsia="zh-CN"/>
        </w:rPr>
        <w:t xml:space="preserve">创新型县等奖补方式予以配套安排用于支持开展江西省产业集群和中小企业数字化转型试点的资金。</w:t>
      </w:r>
      <w:r>
        <w:rPr>
          <w:rFonts w:hint="eastAsia" w:ascii="楷体" w:hAnsi="楷体" w:eastAsia="楷体" w:cs="楷体"/>
          <w:b/>
          <w:bCs/>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第三条 </w:t>
      </w:r>
      <w:r>
        <w:rPr>
          <w:rFonts w:hint="eastAsia" w:ascii="仿宋_GB2312" w:hAnsi="仿宋_GB2312" w:eastAsia="仿宋_GB2312" w:cs="仿宋_GB2312"/>
          <w:b w:val="0"/>
          <w:bCs w:val="0"/>
          <w:sz w:val="32"/>
          <w:szCs w:val="32"/>
          <w:lang w:val="en-US" w:eastAsia="zh-CN"/>
        </w:rPr>
        <w:t xml:space="preserve">奖补资金的使用应当符合国家、省、市数字化转型发展政策导向，符合财政预算管理有关规定，充分发挥财政资金使用效益，坚持依法依规、公平公正、突出重点、科学分配、绩效导向、规范管理的原则。</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default"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第二章 职责分工</w:t>
      </w:r>
      <w:r>
        <w:rPr>
          <w:rFonts w:hint="default" w:ascii="黑体" w:hAnsi="宋体" w:eastAsia="黑体" w:cs="黑体"/>
          <w:color w:val="000000"/>
          <w:sz w:val="32"/>
          <w:szCs w:val="32"/>
          <w:lang w:val="en-US" w:eastAsia="zh-CN" w:bidi="ar"/>
        </w:rPr>
      </w:r>
    </w:p>
    <w:p>
      <w:pPr>
        <w:keepNext w:val="false"/>
        <w:keepLines w:val="false"/>
        <w:pageBreakBefore w:val="false"/>
        <w:widowControl w:val="false"/>
        <w:numPr>
          <w:ilvl w:val="0"/>
          <w:numId w:val="0"/>
        </w:numPr>
        <w:pBdr/>
        <w:spacing w:line="560" w:lineRule="exact"/>
        <w:ind w:firstLine="643"/>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第四条 </w:t>
      </w:r>
      <w:r>
        <w:rPr>
          <w:rFonts w:hint="eastAsia" w:ascii="仿宋_GB2312" w:hAnsi="仿宋_GB2312" w:eastAsia="仿宋_GB2312" w:cs="仿宋_GB2312"/>
          <w:b w:val="0"/>
          <w:bCs w:val="0"/>
          <w:sz w:val="32"/>
          <w:szCs w:val="32"/>
          <w:lang w:val="en-US" w:eastAsia="zh-CN"/>
        </w:rPr>
        <w:t xml:space="preserve">信丰高新区根据江西省工信厅批复的申报方案及省、市数字化转型工作相关要求，负责提出专项资金使用方向、支持重点、奖补资金安排建议和绩效目标等，下达资金项目计划，开展项目绩效评价；承担产业集群和中小企业数字化转型试点项目的组织、指导和受理项目申报、评审、验收等工作，并按规定对拟支持项目进行公示。</w:t>
      </w:r>
      <w:r>
        <w:rPr>
          <w:rFonts w:hint="eastAsia" w:ascii="楷体" w:hAnsi="楷体" w:eastAsia="楷体" w:cs="楷体"/>
          <w:b/>
          <w:bCs/>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第五条 </w:t>
      </w:r>
      <w:r>
        <w:rPr>
          <w:rFonts w:hint="eastAsia" w:ascii="仿宋_GB2312" w:hAnsi="仿宋_GB2312" w:eastAsia="仿宋_GB2312" w:cs="仿宋_GB2312"/>
          <w:b w:val="0"/>
          <w:bCs w:val="0"/>
          <w:sz w:val="32"/>
          <w:szCs w:val="32"/>
          <w:lang w:val="en-US" w:eastAsia="zh-CN"/>
        </w:rPr>
        <w:t xml:space="preserve">县财政局负责会同</w:t>
      </w:r>
      <w:r>
        <w:rPr>
          <w:rFonts w:hint="eastAsia" w:ascii="仿宋_GB2312" w:hAnsi="仿宋_GB2312" w:cs="仿宋_GB2312"/>
          <w:b w:val="0"/>
          <w:bCs w:val="0"/>
          <w:sz w:val="32"/>
          <w:szCs w:val="32"/>
          <w:lang w:val="en-US" w:eastAsia="zh-CN"/>
        </w:rPr>
        <w:t xml:space="preserve">信丰</w:t>
      </w:r>
      <w:r>
        <w:rPr>
          <w:rFonts w:hint="eastAsia" w:ascii="仿宋_GB2312" w:hAnsi="仿宋_GB2312" w:eastAsia="仿宋_GB2312" w:cs="仿宋_GB2312"/>
          <w:b w:val="0"/>
          <w:bCs w:val="0"/>
          <w:sz w:val="32"/>
          <w:szCs w:val="32"/>
          <w:lang w:val="en-US" w:eastAsia="zh-CN"/>
        </w:rPr>
        <w:t xml:space="preserve">高新区做好产业集群和中小企业数字化转型试点专项资金的预算统筹和资金保障，指导</w:t>
      </w:r>
      <w:r>
        <w:rPr>
          <w:rFonts w:hint="eastAsia" w:ascii="仿宋_GB2312" w:hAnsi="仿宋_GB2312" w:cs="仿宋_GB2312"/>
          <w:b w:val="0"/>
          <w:bCs w:val="0"/>
          <w:sz w:val="32"/>
          <w:szCs w:val="32"/>
          <w:lang w:val="en-US" w:eastAsia="zh-CN"/>
        </w:rPr>
        <w:t xml:space="preserve">信丰</w:t>
      </w:r>
      <w:r>
        <w:rPr>
          <w:rFonts w:hint="eastAsia" w:ascii="仿宋_GB2312" w:hAnsi="仿宋_GB2312" w:eastAsia="仿宋_GB2312" w:cs="仿宋_GB2312"/>
          <w:b w:val="0"/>
          <w:bCs w:val="0"/>
          <w:sz w:val="32"/>
          <w:szCs w:val="32"/>
          <w:lang w:val="en-US" w:eastAsia="zh-CN"/>
        </w:rPr>
        <w:t xml:space="preserve">高新区开展财政绩效管理相关工作，并适时开展财政重点绩效评价，根据工作需要开展专项资金使用监督检查等工作。</w:t>
      </w:r>
      <w:r>
        <w:rPr>
          <w:rFonts w:hint="eastAsia" w:ascii="仿宋_GB2312" w:hAnsi="仿宋_GB2312" w:eastAsia="仿宋_GB2312" w:cs="仿宋_GB2312"/>
          <w:b w:val="0"/>
          <w:bCs w:val="0"/>
          <w:sz w:val="32"/>
          <w:szCs w:val="32"/>
          <w:lang w:val="en-US" w:eastAsia="zh-CN"/>
        </w:rPr>
      </w:r>
    </w:p>
    <w:p>
      <w:pPr>
        <w:pStyle w:val="692"/>
        <w:keepNext w:val="false"/>
        <w:keepLines w:val="false"/>
        <w:pageBreakBefore w:val="false"/>
        <w:widowControl w:val="false"/>
        <w:pBdr/>
        <w:spacing w:line="560" w:lineRule="exact"/>
        <w:ind w:firstLine="643" w:left="0"/>
        <w:rPr>
          <w:rFonts w:hint="eastAsia"/>
          <w:szCs w:val="32"/>
          <w:lang w:val="en-US" w:eastAsia="zh-CN"/>
        </w:rPr>
      </w:pPr>
      <w:r>
        <w:rPr>
          <w:rFonts w:hint="eastAsia" w:ascii="楷体" w:hAnsi="楷体" w:eastAsia="楷体" w:cs="楷体"/>
          <w:b/>
          <w:bCs/>
          <w:sz w:val="32"/>
          <w:szCs w:val="32"/>
          <w:lang w:val="en-US" w:eastAsia="zh-CN"/>
        </w:rPr>
        <w:t xml:space="preserve">第六条 </w:t>
      </w:r>
      <w:r>
        <w:rPr>
          <w:rFonts w:hint="eastAsia" w:ascii="仿宋_GB2312" w:hAnsi="仿宋_GB2312" w:cs="仿宋_GB2312"/>
          <w:b w:val="0"/>
          <w:bCs w:val="0"/>
          <w:sz w:val="32"/>
          <w:szCs w:val="32"/>
          <w:lang w:val="en-US" w:eastAsia="zh-CN"/>
        </w:rPr>
        <w:t xml:space="preserve">县工信局负责会同县财政局对项目进行业务指导，加强监督管理，积极开展好企业数字化转型调研、项目评审等工作，协助举办数字化转型培训会，适时总结经验做法和存在困难问题并上报给上级主管部门。同时，组织发动企业实施数字化改造，协助企业申报政策扶持项目等。</w:t>
      </w:r>
      <w:r>
        <w:rPr>
          <w:rFonts w:hint="eastAsia"/>
          <w:szCs w:val="32"/>
          <w:lang w:val="en-US" w:eastAsia="zh-CN"/>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default"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第三章 支持对象和范围</w:t>
      </w:r>
      <w:r>
        <w:rPr>
          <w:rFonts w:hint="default" w:ascii="黑体" w:hAnsi="宋体" w:eastAsia="黑体" w:cs="黑体"/>
          <w:color w:val="000000"/>
          <w:sz w:val="32"/>
          <w:szCs w:val="32"/>
          <w:lang w:val="en-US" w:eastAsia="zh-CN" w:bidi="ar"/>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val="en-US" w:eastAsia="zh-CN"/>
        </w:rPr>
        <w:t xml:space="preserve">第七条 </w:t>
      </w:r>
      <w:r>
        <w:rPr>
          <w:rFonts w:hint="eastAsia" w:ascii="仿宋_GB2312" w:hAnsi="仿宋_GB2312" w:cs="仿宋_GB2312"/>
          <w:b w:val="0"/>
          <w:bCs w:val="0"/>
          <w:color w:val="auto"/>
          <w:sz w:val="32"/>
          <w:szCs w:val="32"/>
          <w:lang w:val="en-US" w:eastAsia="zh-CN"/>
        </w:rPr>
        <w:t xml:space="preserve">支持</w:t>
      </w:r>
      <w:r>
        <w:rPr>
          <w:rFonts w:hint="eastAsia" w:ascii="仿宋_GB2312" w:hAnsi="仿宋_GB2312" w:eastAsia="仿宋_GB2312" w:cs="仿宋_GB2312"/>
          <w:b w:val="0"/>
          <w:bCs w:val="0"/>
          <w:color w:val="auto"/>
          <w:sz w:val="32"/>
          <w:szCs w:val="32"/>
          <w:lang w:val="en-US" w:eastAsia="zh-CN"/>
        </w:rPr>
        <w:t xml:space="preserve">对象：</w:t>
      </w:r>
      <w:r>
        <w:rPr>
          <w:rFonts w:hint="eastAsia" w:ascii="仿宋_GB2312" w:hAnsi="仿宋_GB2312" w:eastAsia="仿宋_GB2312" w:cs="仿宋_GB2312"/>
          <w:b w:val="0"/>
          <w:bCs w:val="0"/>
          <w:color w:val="auto"/>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（一）</w:t>
      </w:r>
      <w:r>
        <w:rPr>
          <w:rFonts w:hint="eastAsia" w:ascii="仿宋_GB2312" w:hAnsi="仿宋_GB2312" w:eastAsia="仿宋_GB2312" w:cs="仿宋_GB2312"/>
          <w:b w:val="0"/>
          <w:bCs w:val="0"/>
          <w:sz w:val="32"/>
          <w:szCs w:val="32"/>
          <w:lang w:val="en-US" w:eastAsia="zh-CN"/>
        </w:rPr>
        <w:t xml:space="preserve">支持对象为在我区</w:t>
      </w:r>
      <w:r>
        <w:rPr>
          <w:rFonts w:hint="eastAsia" w:ascii="仿宋_GB2312" w:hAnsi="仿宋_GB2312" w:cs="仿宋_GB2312"/>
          <w:b w:val="0"/>
          <w:bCs w:val="0"/>
          <w:sz w:val="32"/>
          <w:szCs w:val="32"/>
          <w:lang w:val="en-US" w:eastAsia="zh-CN"/>
        </w:rPr>
        <w:t xml:space="preserve">合法经营的企业或单位，具有健全财务管理机构和财务管理制度。</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（二）</w:t>
      </w:r>
      <w:r>
        <w:rPr>
          <w:rFonts w:hint="eastAsia" w:ascii="仿宋_GB2312" w:hAnsi="仿宋_GB2312" w:eastAsia="仿宋_GB2312" w:cs="仿宋_GB2312"/>
          <w:b w:val="0"/>
          <w:bCs w:val="0"/>
          <w:sz w:val="32"/>
          <w:szCs w:val="32"/>
          <w:lang w:val="en-US" w:eastAsia="zh-CN"/>
        </w:rPr>
        <w:t xml:space="preserve">申报主体近三年内未发生较大质量、环保或安全事故，没有违规、违法和严重失信行为或涉嫌违法正在接受审查的情况</w:t>
      </w:r>
      <w:r>
        <w:rPr>
          <w:rFonts w:hint="eastAsia" w:ascii="仿宋_GB2312" w:hAnsi="仿宋_GB2312" w:cs="仿宋_GB2312"/>
          <w:b w:val="0"/>
          <w:bCs w:val="0"/>
          <w:sz w:val="32"/>
          <w:szCs w:val="32"/>
          <w:lang w:val="en-US" w:eastAsia="zh-CN"/>
        </w:rPr>
        <w:t xml:space="preserve">。本款所称“较大质量事故”参照《建设工程质量管理条例》第五十二条界定；“较大环保事故”参照《突发环境事件应急管理办法》第二十八条界定；“较大安全事故”参照《生产安全事故报告和调查处理条例》第三条界定。申报主体需提供近三年无上述事故的书面承诺及行业主管部门出具的证明文件。</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（三）</w:t>
      </w:r>
      <w:r>
        <w:rPr>
          <w:rFonts w:hint="eastAsia" w:ascii="仿宋_GB2312" w:hAnsi="仿宋_GB2312" w:cs="仿宋_GB2312"/>
          <w:b w:val="0"/>
          <w:bCs w:val="0"/>
          <w:color w:val="auto"/>
          <w:sz w:val="32"/>
          <w:szCs w:val="32"/>
          <w:lang w:val="en-US" w:eastAsia="zh-CN"/>
        </w:rPr>
        <w:t xml:space="preserve">申请数字化改造奖补的</w:t>
      </w:r>
      <w:r>
        <w:rPr>
          <w:rFonts w:hint="eastAsia" w:ascii="仿宋_GB2312" w:hAnsi="仿宋_GB2312" w:eastAsia="仿宋_GB2312" w:cs="仿宋_GB2312"/>
          <w:b w:val="0"/>
          <w:bCs w:val="0"/>
          <w:color w:val="auto"/>
          <w:sz w:val="32"/>
          <w:szCs w:val="32"/>
          <w:lang w:val="en-US" w:eastAsia="zh-CN"/>
        </w:rPr>
        <w:t xml:space="preserve">企业应在202</w:t>
      </w:r>
      <w:r>
        <w:rPr>
          <w:rFonts w:hint="eastAsia" w:ascii="仿宋_GB2312" w:hAnsi="仿宋_GB2312" w:cs="仿宋_GB2312"/>
          <w:b w:val="0"/>
          <w:bCs w:val="0"/>
          <w:color w:val="auto"/>
          <w:sz w:val="32"/>
          <w:szCs w:val="32"/>
          <w:lang w:val="en-US" w:eastAsia="zh-CN"/>
        </w:rPr>
        <w:t xml:space="preserve">4</w:t>
      </w:r>
      <w:r>
        <w:rPr>
          <w:rFonts w:hint="eastAsia" w:ascii="仿宋_GB2312" w:hAnsi="仿宋_GB2312" w:eastAsia="仿宋_GB2312" w:cs="仿宋_GB2312"/>
          <w:b w:val="0"/>
          <w:bCs w:val="0"/>
          <w:color w:val="auto"/>
          <w:sz w:val="32"/>
          <w:szCs w:val="32"/>
          <w:lang w:val="en-US" w:eastAsia="zh-CN"/>
        </w:rPr>
        <w:t xml:space="preserve">年</w:t>
      </w:r>
      <w:r>
        <w:rPr>
          <w:rFonts w:hint="eastAsia" w:ascii="仿宋_GB2312" w:hAnsi="仿宋_GB2312" w:cs="仿宋_GB2312"/>
          <w:b w:val="0"/>
          <w:bCs w:val="0"/>
          <w:color w:val="auto"/>
          <w:sz w:val="32"/>
          <w:szCs w:val="32"/>
          <w:lang w:val="en-US" w:eastAsia="zh-CN"/>
        </w:rPr>
        <w:t xml:space="preserve">1</w:t>
      </w:r>
      <w:r>
        <w:rPr>
          <w:rFonts w:hint="eastAsia" w:ascii="仿宋_GB2312" w:hAnsi="仿宋_GB2312" w:eastAsia="仿宋_GB2312" w:cs="仿宋_GB2312"/>
          <w:b w:val="0"/>
          <w:bCs w:val="0"/>
          <w:color w:val="auto"/>
          <w:sz w:val="32"/>
          <w:szCs w:val="32"/>
          <w:lang w:val="en-US" w:eastAsia="zh-CN"/>
        </w:rPr>
        <w:t xml:space="preserve">月1日后</w:t>
      </w:r>
      <w:r>
        <w:rPr>
          <w:rFonts w:hint="eastAsia" w:ascii="仿宋_GB2312" w:hAnsi="仿宋_GB2312" w:eastAsia="仿宋_GB2312" w:cs="仿宋_GB2312"/>
          <w:b w:val="0"/>
          <w:bCs w:val="0"/>
          <w:sz w:val="32"/>
          <w:szCs w:val="32"/>
          <w:lang w:val="en-US" w:eastAsia="zh-CN"/>
        </w:rPr>
        <w:t xml:space="preserve">（以合同签订和相关发票时间为准）实施数字化改造。</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（四）</w:t>
      </w:r>
      <w:r>
        <w:rPr>
          <w:rFonts w:hint="eastAsia" w:ascii="仿宋_GB2312" w:hAnsi="仿宋_GB2312" w:eastAsia="仿宋_GB2312" w:cs="仿宋_GB2312"/>
          <w:b w:val="0"/>
          <w:bCs w:val="0"/>
          <w:sz w:val="32"/>
          <w:szCs w:val="32"/>
          <w:lang w:val="en-US" w:eastAsia="zh-CN"/>
        </w:rPr>
        <w:t xml:space="preserve">同一笔投入已享受过</w:t>
      </w:r>
      <w:r>
        <w:rPr>
          <w:rFonts w:hint="eastAsia" w:ascii="仿宋_GB2312" w:hAnsi="仿宋_GB2312" w:cs="仿宋_GB2312"/>
          <w:b w:val="0"/>
          <w:bCs w:val="0"/>
          <w:sz w:val="32"/>
          <w:szCs w:val="32"/>
          <w:lang w:val="en-US" w:eastAsia="zh-CN"/>
        </w:rPr>
        <w:t xml:space="preserve">“赛马制”省级</w:t>
      </w:r>
      <w:r>
        <w:rPr>
          <w:rFonts w:hint="eastAsia" w:ascii="仿宋_GB2312" w:hAnsi="仿宋_GB2312" w:eastAsia="仿宋_GB2312" w:cs="仿宋_GB2312"/>
          <w:b w:val="0"/>
          <w:bCs w:val="0"/>
          <w:sz w:val="32"/>
          <w:szCs w:val="32"/>
          <w:lang w:val="en-US" w:eastAsia="zh-CN"/>
        </w:rPr>
        <w:t xml:space="preserve">数字化改造提档升级专项</w:t>
      </w:r>
      <w:r>
        <w:rPr>
          <w:rFonts w:hint="eastAsia" w:ascii="仿宋_GB2312" w:hAnsi="仿宋_GB2312" w:cs="仿宋_GB2312"/>
          <w:b w:val="0"/>
          <w:bCs w:val="0"/>
          <w:sz w:val="32"/>
          <w:szCs w:val="32"/>
          <w:lang w:val="en-US" w:eastAsia="zh-CN"/>
        </w:rPr>
        <w:t xml:space="preserve">项目奖补，</w:t>
      </w:r>
      <w:r>
        <w:rPr>
          <w:rFonts w:hint="eastAsia" w:ascii="仿宋_GB2312" w:hAnsi="仿宋_GB2312" w:eastAsia="仿宋_GB2312" w:cs="仿宋_GB2312"/>
          <w:b w:val="0"/>
          <w:bCs w:val="0"/>
          <w:sz w:val="32"/>
          <w:szCs w:val="32"/>
          <w:lang w:val="en-US" w:eastAsia="zh-CN"/>
        </w:rPr>
        <w:t xml:space="preserve">不再重复享受本专项资金补助。202</w:t>
      </w:r>
      <w:r>
        <w:rPr>
          <w:rFonts w:hint="eastAsia" w:ascii="仿宋_GB2312" w:hAnsi="仿宋_GB2312" w:cs="仿宋_GB2312"/>
          <w:b w:val="0"/>
          <w:bCs w:val="0"/>
          <w:sz w:val="32"/>
          <w:szCs w:val="32"/>
          <w:lang w:val="en-US" w:eastAsia="zh-CN"/>
        </w:rPr>
        <w:t xml:space="preserve">5</w:t>
      </w:r>
      <w:r>
        <w:rPr>
          <w:rFonts w:hint="eastAsia" w:ascii="仿宋_GB2312" w:hAnsi="仿宋_GB2312" w:eastAsia="仿宋_GB2312" w:cs="仿宋_GB2312"/>
          <w:b w:val="0"/>
          <w:bCs w:val="0"/>
          <w:sz w:val="32"/>
          <w:szCs w:val="32"/>
          <w:lang w:val="en-US" w:eastAsia="zh-CN"/>
        </w:rPr>
        <w:t xml:space="preserve">年以后已获得或正在申报其他省级财政专项资金支持，应在申报材料中予以详细说明。</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第八条 </w:t>
      </w:r>
      <w:r>
        <w:rPr>
          <w:rFonts w:hint="eastAsia" w:ascii="仿宋_GB2312" w:hAnsi="仿宋_GB2312" w:cs="仿宋_GB2312"/>
          <w:b w:val="0"/>
          <w:bCs w:val="0"/>
          <w:sz w:val="32"/>
          <w:szCs w:val="32"/>
          <w:lang w:val="en-US" w:eastAsia="zh-CN"/>
        </w:rPr>
        <w:t xml:space="preserve">支持范围。专项资金主要采用政府购买服务、财政奖补等方式进行支持。信丰高新区产业集群和中小企业数字化转型共设定3000万元的专项资金，其中省级专项资金不低于70%用于奖补数字化改造企业，省级专项资金不高于30%用于支持数字化服务体系建设、公共服务平台建设及开展高标准数字化园区建设活动等。</w:t>
      </w:r>
      <w:r>
        <w:rPr>
          <w:rFonts w:hint="eastAsia" w:ascii="仿宋_GB2312" w:hAnsi="仿宋_GB2312" w:cs="仿宋_GB2312"/>
          <w:b w:val="0"/>
          <w:bCs w:val="0"/>
          <w:sz w:val="32"/>
          <w:szCs w:val="32"/>
          <w:lang w:val="en-US" w:eastAsia="zh-CN"/>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default"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第四章 支持方式</w:t>
      </w:r>
      <w:r>
        <w:rPr>
          <w:rFonts w:hint="default" w:ascii="黑体" w:hAnsi="宋体" w:eastAsia="黑体" w:cs="黑体"/>
          <w:color w:val="000000"/>
          <w:sz w:val="32"/>
          <w:szCs w:val="32"/>
          <w:lang w:val="en-US" w:eastAsia="zh-CN" w:bidi="ar"/>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第九条 </w:t>
      </w:r>
      <w:r>
        <w:rPr>
          <w:rFonts w:hint="eastAsia" w:ascii="仿宋_GB2312" w:hAnsi="仿宋_GB2312" w:cs="仿宋_GB2312"/>
          <w:b w:val="0"/>
          <w:bCs w:val="0"/>
          <w:sz w:val="32"/>
          <w:szCs w:val="32"/>
          <w:lang w:val="en-US" w:eastAsia="zh-CN"/>
        </w:rPr>
        <w:t xml:space="preserve">支持试点企业数字化改造。对试点企业完成改造并达到L6等级及以上的企业（以江西省统一出具的贯标证书为准），给予一次性奖励，奖励实行晋级补差，不叠加享受其他奖励政策。</w:t>
      </w:r>
      <w:r>
        <w:rPr>
          <w:rFonts w:hint="eastAsia" w:ascii="仿宋_GB2312" w:hAnsi="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第十条 </w:t>
      </w:r>
      <w:r>
        <w:rPr>
          <w:rFonts w:hint="eastAsia" w:ascii="仿宋_GB2312" w:hAnsi="仿宋_GB2312" w:cs="仿宋_GB2312"/>
          <w:b w:val="0"/>
          <w:bCs w:val="0"/>
          <w:sz w:val="32"/>
          <w:szCs w:val="32"/>
          <w:lang w:val="en-US" w:eastAsia="zh-CN"/>
        </w:rPr>
        <w:t xml:space="preserve">支持打造数字化标杆。对获得国家数字化转型领域标杆、省级试点示范（“数智工厂”“小灯塔”等）荣誉的，以及被评为国家级、省级“数字领航”的企业，给予一次性奖励，奖励实行晋级补差，不叠加享受其他奖励政策。</w:t>
      </w:r>
      <w:r>
        <w:rPr>
          <w:rFonts w:hint="eastAsia" w:ascii="仿宋_GB2312" w:hAnsi="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第十一条 </w:t>
      </w:r>
      <w:r>
        <w:rPr>
          <w:rFonts w:hint="eastAsia" w:ascii="仿宋_GB2312" w:hAnsi="仿宋_GB2312" w:cs="仿宋_GB2312"/>
          <w:b w:val="0"/>
          <w:bCs w:val="0"/>
          <w:sz w:val="32"/>
          <w:szCs w:val="32"/>
          <w:lang w:val="en-US" w:eastAsia="zh-CN"/>
        </w:rPr>
        <w:t xml:space="preserve">支持建设数字化服务体系。根据促进中心数字化服务能力建设成效和服务效果，对其建设和运营给予支持。</w:t>
      </w:r>
      <w:r>
        <w:rPr>
          <w:rFonts w:hint="eastAsia" w:ascii="仿宋_GB2312" w:hAnsi="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第十二条 </w:t>
      </w:r>
      <w:r>
        <w:rPr>
          <w:rFonts w:hint="eastAsia" w:ascii="仿宋_GB2312" w:hAnsi="仿宋_GB2312" w:cs="仿宋_GB2312"/>
          <w:b w:val="0"/>
          <w:bCs w:val="0"/>
          <w:sz w:val="32"/>
          <w:szCs w:val="32"/>
          <w:lang w:val="en-US" w:eastAsia="zh-CN"/>
        </w:rPr>
        <w:t xml:space="preserve">支持建设公共服务平台。支持建设数字化转型公共服务平台，依托平台开展试点企业申报、服务商遴选、“小快轻准”产品供给、供需对接、过程监管、改造验收、政策资讯等工作。</w:t>
      </w:r>
      <w:r>
        <w:rPr>
          <w:rFonts w:hint="eastAsia" w:ascii="仿宋_GB2312" w:hAnsi="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第十三条 </w:t>
      </w:r>
      <w:r>
        <w:rPr>
          <w:rFonts w:hint="eastAsia" w:ascii="仿宋_GB2312" w:hAnsi="仿宋_GB2312" w:cs="仿宋_GB2312"/>
          <w:b w:val="0"/>
          <w:bCs w:val="0"/>
          <w:sz w:val="32"/>
          <w:szCs w:val="32"/>
          <w:lang w:val="en-US" w:eastAsia="zh-CN"/>
        </w:rPr>
        <w:t xml:space="preserve">支持建设数字园区。依托现有智慧园区平台，深化系统功能。打造“智慧园区+企业服务”生态体系，提升园区数字化管理水平，逐步建立安全生产、生态环保、信访维稳的数字化管理；推动建设数字化能碳管理中心，深化数字化赋能绿色化；基于系统数据积累，丰富产销对接、数据驾驶舱、企业画像等功能模块；探索园区产业图谱分析，为精准招商和企业孵化提供数据服务。</w:t>
      </w:r>
      <w:r>
        <w:rPr>
          <w:rFonts w:hint="eastAsia" w:ascii="仿宋_GB2312" w:hAnsi="仿宋_GB2312" w:cs="仿宋_GB2312"/>
          <w:b w:val="0"/>
          <w:bCs w:val="0"/>
          <w:sz w:val="32"/>
          <w:szCs w:val="32"/>
          <w:lang w:val="en-US" w:eastAsia="zh-CN"/>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default"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第五章 申报程序</w:t>
      </w:r>
      <w:r>
        <w:rPr>
          <w:rFonts w:hint="default" w:ascii="黑体" w:hAnsi="宋体" w:eastAsia="黑体" w:cs="黑体"/>
          <w:color w:val="000000"/>
          <w:sz w:val="32"/>
          <w:szCs w:val="32"/>
          <w:lang w:val="en-US" w:eastAsia="zh-CN" w:bidi="ar"/>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第十四条 </w:t>
      </w:r>
      <w:r>
        <w:rPr>
          <w:rFonts w:hint="eastAsia" w:ascii="仿宋_GB2312" w:hAnsi="仿宋_GB2312" w:eastAsia="仿宋_GB2312" w:cs="仿宋_GB2312"/>
          <w:b w:val="0"/>
          <w:bCs w:val="0"/>
          <w:sz w:val="32"/>
          <w:szCs w:val="32"/>
          <w:lang w:val="en-US" w:eastAsia="zh-CN"/>
        </w:rPr>
        <w:t xml:space="preserve">项目申报流程：</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（一）</w:t>
      </w:r>
      <w:r>
        <w:rPr>
          <w:rFonts w:hint="eastAsia" w:ascii="仿宋_GB2312" w:hAnsi="仿宋_GB2312" w:eastAsia="仿宋_GB2312" w:cs="仿宋_GB2312"/>
          <w:b w:val="0"/>
          <w:bCs w:val="0"/>
          <w:sz w:val="32"/>
          <w:szCs w:val="32"/>
          <w:lang w:val="en-US" w:eastAsia="zh-CN"/>
        </w:rPr>
        <w:t xml:space="preserve">项目申报。按照企业自主申报的原则，申报单位对照申报条件，严格按照格式要求，在服务平台（https://yun.xfdate.com）上传项目申报材料，以及加盖企业公章后将纸质版（含 PDF 电子版）</w:t>
      </w:r>
      <w:r>
        <w:rPr>
          <w:rFonts w:hint="eastAsia" w:ascii="仿宋_GB2312" w:hAnsi="仿宋_GB2312" w:eastAsia="仿宋_GB2312" w:cs="仿宋_GB2312"/>
          <w:b w:val="0"/>
          <w:bCs w:val="0"/>
          <w:color w:val="auto"/>
          <w:sz w:val="32"/>
          <w:szCs w:val="32"/>
          <w:lang w:val="en-US" w:eastAsia="zh-CN"/>
        </w:rPr>
        <w:t xml:space="preserve">提交</w:t>
      </w:r>
      <w:r>
        <w:rPr>
          <w:rFonts w:hint="eastAsia" w:ascii="仿宋_GB2312" w:hAnsi="仿宋_GB2312" w:eastAsia="仿宋_GB2312" w:cs="仿宋_GB2312"/>
          <w:b w:val="0"/>
          <w:bCs w:val="0"/>
          <w:sz w:val="32"/>
          <w:szCs w:val="32"/>
          <w:lang w:val="en-US" w:eastAsia="zh-CN"/>
        </w:rPr>
        <w:t xml:space="preserve">信丰高新区</w:t>
      </w:r>
      <w:r>
        <w:rPr>
          <w:rFonts w:hint="eastAsia" w:ascii="仿宋_GB2312" w:hAnsi="仿宋_GB2312" w:eastAsia="仿宋_GB2312" w:cs="仿宋_GB2312"/>
          <w:b w:val="0"/>
          <w:bCs w:val="0"/>
          <w:color w:val="auto"/>
          <w:sz w:val="32"/>
          <w:szCs w:val="32"/>
          <w:lang w:val="en-US" w:eastAsia="zh-CN"/>
        </w:rPr>
        <w:t xml:space="preserve">。</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 xml:space="preserve">（二）</w:t>
      </w:r>
      <w:r>
        <w:rPr>
          <w:rFonts w:hint="eastAsia" w:ascii="仿宋_GB2312" w:hAnsi="仿宋_GB2312" w:eastAsia="仿宋_GB2312" w:cs="仿宋_GB2312"/>
          <w:b w:val="0"/>
          <w:bCs w:val="0"/>
          <w:sz w:val="32"/>
          <w:szCs w:val="32"/>
          <w:lang w:val="en-US" w:eastAsia="zh-CN"/>
        </w:rPr>
        <w:t xml:space="preserve">项目审核。信丰高新区</w:t>
      </w:r>
      <w:r>
        <w:rPr>
          <w:rFonts w:hint="eastAsia" w:ascii="仿宋_GB2312" w:hAnsi="仿宋_GB2312" w:eastAsia="仿宋_GB2312" w:cs="仿宋_GB2312"/>
          <w:b w:val="0"/>
          <w:bCs w:val="0"/>
          <w:color w:val="auto"/>
          <w:sz w:val="32"/>
          <w:szCs w:val="32"/>
          <w:lang w:val="en-US" w:eastAsia="zh-CN"/>
        </w:rPr>
        <w:t xml:space="preserve">委托第三方机构</w:t>
      </w:r>
      <w:r>
        <w:rPr>
          <w:rFonts w:hint="eastAsia" w:ascii="仿宋_GB2312" w:hAnsi="仿宋_GB2312" w:eastAsia="仿宋_GB2312" w:cs="仿宋_GB2312"/>
          <w:b w:val="0"/>
          <w:bCs w:val="0"/>
          <w:sz w:val="32"/>
          <w:szCs w:val="32"/>
          <w:lang w:val="en-US" w:eastAsia="zh-CN"/>
        </w:rPr>
        <w:t xml:space="preserve">对企业申报材料进行审核，对申报材料的真实性、完整性提出明确的审核意见，符合条件的项目准予入库改造。</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ascii="仿宋_GB2312" w:hAnsi="仿宋_GB2312" w:eastAsia="仿宋_GB2312" w:cs="仿宋_GB2312"/>
          <w:b w:val="0"/>
          <w:bCs w:val="0"/>
          <w:szCs w:val="32"/>
        </w:rPr>
      </w:pPr>
      <w:r>
        <w:rPr>
          <w:rFonts w:hint="eastAsia" w:ascii="楷体" w:hAnsi="楷体" w:eastAsia="楷体" w:cs="楷体"/>
          <w:b w:val="0"/>
          <w:bCs w:val="0"/>
          <w:sz w:val="32"/>
          <w:szCs w:val="32"/>
          <w:lang w:val="en-US" w:eastAsia="zh-CN"/>
        </w:rPr>
        <w:t xml:space="preserve">（三）</w:t>
      </w:r>
      <w:r>
        <w:rPr>
          <w:rFonts w:hint="eastAsia" w:ascii="仿宋_GB2312" w:hAnsi="仿宋_GB2312" w:eastAsia="仿宋_GB2312" w:cs="仿宋_GB2312"/>
          <w:b w:val="0"/>
          <w:bCs w:val="0"/>
          <w:sz w:val="32"/>
          <w:szCs w:val="32"/>
          <w:lang w:val="en-US" w:eastAsia="zh-CN"/>
        </w:rPr>
        <w:t xml:space="preserve">项目公示。</w:t>
      </w:r>
      <w:r>
        <w:rPr>
          <w:rFonts w:hint="eastAsia" w:ascii="仿宋_GB2312" w:hAnsi="仿宋_GB2312" w:eastAsia="仿宋_GB2312" w:cs="仿宋_GB2312"/>
          <w:b w:val="0"/>
          <w:bCs w:val="0"/>
          <w:color w:val="000000"/>
          <w:sz w:val="32"/>
          <w:szCs w:val="32"/>
          <w:lang w:val="en-US" w:eastAsia="zh-CN" w:bidi="ar"/>
        </w:rPr>
        <w:t xml:space="preserve">对审核通过拟享受奖补资金的项目，将在信丰县数字化转型公共服务平台网站进行 5 个工作日的公示。</w:t>
      </w:r>
      <w:r>
        <w:rPr>
          <w:rFonts w:hint="eastAsia" w:ascii="仿宋_GB2312" w:hAnsi="仿宋_GB2312" w:eastAsia="仿宋_GB2312" w:cs="仿宋_GB2312"/>
          <w:b w:val="0"/>
          <w:bCs w:val="0"/>
          <w:szCs w:val="32"/>
        </w:rPr>
      </w:r>
    </w:p>
    <w:p>
      <w:pPr>
        <w:keepNext w:val="false"/>
        <w:keepLines w:val="false"/>
        <w:pageBreakBefore w:val="false"/>
        <w:widowControl w:val="true"/>
        <w:suppressLineNumbers w:val="false"/>
        <w:pBdr/>
        <w:spacing w:line="560" w:lineRule="exact"/>
        <w:ind w:firstLine="640"/>
        <w:jc w:val="both"/>
        <w:rPr>
          <w:rFonts w:hint="eastAsia" w:ascii="仿宋_GB2312" w:hAnsi="仿宋_GB2312" w:eastAsia="仿宋_GB2312" w:cs="仿宋_GB2312"/>
          <w:b w:val="0"/>
          <w:bCs w:val="0"/>
          <w:szCs w:val="32"/>
        </w:rPr>
      </w:pPr>
      <w:r>
        <w:rPr>
          <w:rFonts w:hint="eastAsia" w:ascii="楷体" w:hAnsi="楷体" w:eastAsia="楷体" w:cs="楷体"/>
          <w:b w:val="0"/>
          <w:bCs w:val="0"/>
          <w:sz w:val="32"/>
          <w:szCs w:val="32"/>
          <w:lang w:val="en-US" w:eastAsia="zh-CN"/>
        </w:rPr>
        <w:t xml:space="preserve">（四）</w:t>
      </w:r>
      <w:r>
        <w:rPr>
          <w:rFonts w:hint="eastAsia" w:ascii="仿宋_GB2312" w:hAnsi="仿宋_GB2312" w:eastAsia="仿宋_GB2312" w:cs="仿宋_GB2312"/>
          <w:b w:val="0"/>
          <w:bCs w:val="0"/>
          <w:sz w:val="32"/>
          <w:szCs w:val="32"/>
          <w:lang w:val="en-US" w:eastAsia="zh-CN"/>
        </w:rPr>
        <w:t xml:space="preserve">审定。</w:t>
      </w:r>
      <w:r>
        <w:rPr>
          <w:rFonts w:hint="eastAsia" w:ascii="仿宋_GB2312" w:hAnsi="仿宋_GB2312" w:eastAsia="仿宋_GB2312" w:cs="仿宋_GB2312"/>
          <w:b w:val="0"/>
          <w:bCs w:val="0"/>
          <w:color w:val="000000"/>
          <w:sz w:val="32"/>
          <w:szCs w:val="32"/>
          <w:lang w:val="en-US" w:eastAsia="zh-CN" w:bidi="ar"/>
        </w:rPr>
        <w:t xml:space="preserve">对公示无异议的项目，由</w:t>
      </w:r>
      <w:r>
        <w:rPr>
          <w:rFonts w:hint="eastAsia" w:ascii="仿宋_GB2312" w:hAnsi="仿宋_GB2312" w:eastAsia="仿宋_GB2312" w:cs="仿宋_GB2312"/>
          <w:b w:val="0"/>
          <w:bCs w:val="0"/>
          <w:sz w:val="32"/>
          <w:szCs w:val="32"/>
          <w:lang w:val="en-US" w:eastAsia="zh-CN"/>
        </w:rPr>
        <w:t xml:space="preserve">信丰高新区</w:t>
      </w:r>
      <w:r>
        <w:rPr>
          <w:rFonts w:hint="eastAsia" w:ascii="仿宋_GB2312" w:hAnsi="仿宋_GB2312" w:eastAsia="仿宋_GB2312" w:cs="仿宋_GB2312"/>
          <w:b w:val="0"/>
          <w:bCs w:val="0"/>
          <w:color w:val="auto"/>
          <w:sz w:val="32"/>
          <w:szCs w:val="32"/>
          <w:lang w:val="en-US" w:eastAsia="zh-CN"/>
        </w:rPr>
        <w:t xml:space="preserve">会</w:t>
      </w:r>
      <w:r>
        <w:rPr>
          <w:rFonts w:hint="eastAsia" w:ascii="仿宋_GB2312" w:hAnsi="仿宋_GB2312" w:eastAsia="仿宋_GB2312" w:cs="仿宋_GB2312"/>
          <w:b w:val="0"/>
          <w:bCs w:val="0"/>
          <w:color w:val="000000"/>
          <w:sz w:val="32"/>
          <w:szCs w:val="32"/>
          <w:lang w:val="en-US" w:eastAsia="zh-CN" w:bidi="ar"/>
        </w:rPr>
        <w:t xml:space="preserve">同县财政局按照奖补政策规定，拟定专项资金安排计划 并报县政府审定。</w:t>
      </w:r>
      <w:r>
        <w:rPr>
          <w:rFonts w:hint="eastAsia" w:ascii="仿宋_GB2312" w:hAnsi="仿宋_GB2312" w:eastAsia="仿宋_GB2312" w:cs="仿宋_GB2312"/>
          <w:b w:val="0"/>
          <w:bCs w:val="0"/>
          <w:szCs w:val="32"/>
        </w:rPr>
      </w:r>
    </w:p>
    <w:p>
      <w:pPr>
        <w:keepNext w:val="false"/>
        <w:keepLines w:val="false"/>
        <w:pageBreakBefore w:val="false"/>
        <w:widowControl w:val="true"/>
        <w:suppressLineNumbers w:val="false"/>
        <w:pBdr/>
        <w:spacing w:line="560" w:lineRule="exact"/>
        <w:ind w:firstLine="640"/>
        <w:jc w:val="both"/>
        <w:rPr>
          <w:rFonts w:hint="eastAsia" w:ascii="仿宋_GB2312" w:hAnsi="仿宋_GB2312" w:eastAsia="仿宋_GB2312" w:cs="仿宋_GB2312"/>
          <w:color w:val="000000"/>
          <w:sz w:val="32"/>
          <w:szCs w:val="32"/>
          <w:lang w:val="en-US" w:eastAsia="zh-CN" w:bidi="ar"/>
        </w:rPr>
      </w:pPr>
      <w:r>
        <w:rPr>
          <w:rFonts w:hint="eastAsia" w:ascii="楷体" w:hAnsi="楷体" w:eastAsia="楷体" w:cs="楷体"/>
          <w:b w:val="0"/>
          <w:bCs w:val="0"/>
          <w:sz w:val="32"/>
          <w:szCs w:val="32"/>
          <w:lang w:val="en-US" w:eastAsia="zh-CN"/>
        </w:rPr>
        <w:t xml:space="preserve">（五）</w:t>
      </w:r>
      <w:r>
        <w:rPr>
          <w:rFonts w:hint="eastAsia" w:ascii="仿宋_GB2312" w:hAnsi="仿宋_GB2312" w:eastAsia="仿宋_GB2312" w:cs="仿宋_GB2312"/>
          <w:b w:val="0"/>
          <w:bCs w:val="0"/>
          <w:sz w:val="32"/>
          <w:szCs w:val="32"/>
          <w:lang w:val="en-US" w:eastAsia="zh-CN"/>
        </w:rPr>
        <w:t xml:space="preserve">拨付。</w:t>
      </w:r>
      <w:r>
        <w:rPr>
          <w:rFonts w:hint="eastAsia" w:ascii="仿宋_GB2312" w:hAnsi="仿宋_GB2312" w:eastAsia="仿宋_GB2312" w:cs="仿宋_GB2312"/>
          <w:b w:val="0"/>
          <w:bCs w:val="0"/>
          <w:color w:val="000000"/>
          <w:sz w:val="32"/>
          <w:szCs w:val="32"/>
          <w:lang w:val="en-US" w:eastAsia="zh-CN" w:bidi="ar"/>
        </w:rPr>
        <w:t xml:space="preserve">根据县政府批准的资金安排计划，按程序拨付奖补资金。</w:t>
      </w:r>
      <w:r>
        <w:rPr>
          <w:rFonts w:hint="eastAsia" w:ascii="仿宋_GB2312" w:hAnsi="仿宋_GB2312" w:eastAsia="仿宋_GB2312" w:cs="仿宋_GB2312"/>
          <w:color w:val="000000"/>
          <w:sz w:val="32"/>
          <w:szCs w:val="32"/>
          <w:lang w:val="en-US" w:eastAsia="zh-CN" w:bidi="ar"/>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default"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第六章 资金分配和执行</w:t>
      </w:r>
      <w:r>
        <w:rPr>
          <w:rFonts w:hint="default" w:ascii="黑体" w:hAnsi="宋体" w:eastAsia="黑体" w:cs="黑体"/>
          <w:color w:val="000000"/>
          <w:sz w:val="32"/>
          <w:szCs w:val="32"/>
          <w:lang w:val="en-US" w:eastAsia="zh-CN" w:bidi="ar"/>
        </w:rPr>
      </w:r>
    </w:p>
    <w:p>
      <w:pPr>
        <w:keepNext w:val="false"/>
        <w:keepLines w:val="false"/>
        <w:pageBreakBefore w:val="false"/>
        <w:widowControl w:val="false"/>
        <w:numPr>
          <w:ilvl w:val="0"/>
          <w:numId w:val="0"/>
        </w:numPr>
        <w:pBdr/>
        <w:spacing w:line="560" w:lineRule="exact"/>
        <w:ind w:firstLine="643"/>
        <w:jc w:val="both"/>
        <w:rPr>
          <w:rFonts w:hint="eastAsia"/>
          <w:szCs w:val="32"/>
          <w:lang w:val="en-US" w:eastAsia="zh-CN"/>
        </w:rPr>
      </w:pPr>
      <w:r>
        <w:rPr>
          <w:rFonts w:hint="eastAsia" w:ascii="楷体" w:hAnsi="楷体" w:eastAsia="楷体" w:cs="楷体"/>
          <w:b/>
          <w:bCs/>
          <w:sz w:val="32"/>
          <w:szCs w:val="32"/>
          <w:lang w:val="en-US" w:eastAsia="zh-CN"/>
        </w:rPr>
        <w:t xml:space="preserve">第十五条 </w:t>
      </w:r>
      <w:r>
        <w:rPr>
          <w:rFonts w:hint="eastAsia" w:ascii="仿宋_GB2312" w:hAnsi="仿宋_GB2312" w:cs="仿宋_GB2312"/>
          <w:b w:val="0"/>
          <w:bCs w:val="0"/>
          <w:sz w:val="32"/>
          <w:szCs w:val="32"/>
          <w:lang w:val="en-US" w:eastAsia="zh-CN"/>
        </w:rPr>
        <w:t xml:space="preserve">资金分配。</w:t>
      </w:r>
      <w:r>
        <w:rPr>
          <w:rFonts w:hint="eastAsia"/>
          <w:szCs w:val="32"/>
          <w:lang w:val="en-US" w:eastAsia="zh-CN"/>
        </w:rPr>
        <w:t xml:space="preserve">信丰高新区可根据每年预算规模和申报数量，在项目资金管理办法规定的扶持限额内，以合理的方式确定受扶持项目、单位的数量，以及最终扶持或奖励的金额，以保证专项资金使用绩效。其中合理的方式主要包括：</w:t>
      </w:r>
      <w:r>
        <w:rPr>
          <w:rFonts w:hint="eastAsia"/>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szCs w:val="32"/>
          <w:lang w:val="en-US" w:eastAsia="zh-CN"/>
        </w:rPr>
      </w:pPr>
      <w:r>
        <w:rPr>
          <w:rFonts w:hint="eastAsia" w:ascii="楷体" w:hAnsi="楷体" w:eastAsia="楷体" w:cs="楷体"/>
          <w:b w:val="0"/>
          <w:bCs w:val="0"/>
          <w:sz w:val="32"/>
          <w:szCs w:val="32"/>
          <w:lang w:val="en-US" w:eastAsia="zh-CN"/>
        </w:rPr>
        <w:t xml:space="preserve">（一）</w:t>
      </w:r>
      <w:r>
        <w:rPr>
          <w:rFonts w:hint="eastAsia"/>
          <w:szCs w:val="32"/>
          <w:lang w:val="en-US" w:eastAsia="zh-CN"/>
        </w:rPr>
        <w:t xml:space="preserve">在年度预算内专项资金按申请顺序用完即止；如因预算不足未能在当年度获得扶持的项目，信丰高新区可在下一年度预算资金中安排扶持。</w:t>
      </w:r>
      <w:r>
        <w:rPr>
          <w:rFonts w:hint="eastAsia"/>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szCs w:val="32"/>
          <w:lang w:val="en-US" w:eastAsia="zh-CN"/>
        </w:rPr>
      </w:pPr>
      <w:r>
        <w:rPr>
          <w:rFonts w:hint="eastAsia" w:ascii="楷体" w:hAnsi="楷体" w:eastAsia="楷体" w:cs="楷体"/>
          <w:b w:val="0"/>
          <w:bCs w:val="0"/>
          <w:sz w:val="32"/>
          <w:szCs w:val="32"/>
          <w:lang w:val="en-US" w:eastAsia="zh-CN"/>
        </w:rPr>
        <w:t xml:space="preserve">（二）</w:t>
      </w:r>
      <w:r>
        <w:rPr>
          <w:rFonts w:hint="eastAsia"/>
          <w:szCs w:val="32"/>
          <w:lang w:val="en-US" w:eastAsia="zh-CN"/>
        </w:rPr>
        <w:t xml:space="preserve">根据预算规模和项目申报数量情况，在不超过扶持对象可享受的最高扶持标准内，适当下调扶持比例和金额。</w:t>
      </w:r>
      <w:r>
        <w:rPr>
          <w:rFonts w:hint="eastAsia"/>
          <w:szCs w:val="32"/>
          <w:lang w:val="en-US" w:eastAsia="zh-CN"/>
        </w:rPr>
      </w:r>
    </w:p>
    <w:p>
      <w:pPr>
        <w:keepNext w:val="false"/>
        <w:keepLines w:val="false"/>
        <w:pageBreakBefore w:val="false"/>
        <w:widowControl w:val="false"/>
        <w:numPr>
          <w:ilvl w:val="0"/>
          <w:numId w:val="0"/>
        </w:numPr>
        <w:pBdr/>
        <w:spacing w:line="560" w:lineRule="exact"/>
        <w:ind w:firstLine="640"/>
        <w:jc w:val="both"/>
        <w:rPr>
          <w:rFonts w:hint="eastAsia"/>
          <w:szCs w:val="32"/>
          <w:lang w:val="en-US" w:eastAsia="zh-CN"/>
        </w:rPr>
      </w:pPr>
      <w:r>
        <w:rPr>
          <w:rFonts w:hint="eastAsia" w:ascii="楷体" w:hAnsi="楷体" w:eastAsia="楷体" w:cs="楷体"/>
          <w:b w:val="0"/>
          <w:bCs w:val="0"/>
          <w:sz w:val="32"/>
          <w:szCs w:val="32"/>
          <w:lang w:val="en-US" w:eastAsia="zh-CN"/>
        </w:rPr>
        <w:t xml:space="preserve">（三）</w:t>
      </w:r>
      <w:r>
        <w:rPr>
          <w:rFonts w:hint="eastAsia"/>
          <w:szCs w:val="32"/>
          <w:lang w:val="en-US" w:eastAsia="zh-CN"/>
        </w:rPr>
        <w:t xml:space="preserve">通过竞争性分配方式，择优选择项目扶持。</w:t>
      </w:r>
      <w:r>
        <w:rPr>
          <w:rFonts w:hint="eastAsia"/>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cs="Times New Roman"/>
          <w:color w:val="auto"/>
          <w:szCs w:val="32"/>
          <w:lang w:val="en-US" w:eastAsia="zh-CN"/>
        </w:rPr>
      </w:pPr>
      <w:r>
        <w:rPr>
          <w:rFonts w:hint="eastAsia" w:ascii="楷体" w:hAnsi="楷体" w:eastAsia="楷体" w:cs="楷体"/>
          <w:b/>
          <w:bCs/>
          <w:sz w:val="32"/>
          <w:szCs w:val="32"/>
          <w:lang w:val="en-US" w:eastAsia="zh-CN"/>
        </w:rPr>
        <w:t xml:space="preserve">第十六条 </w:t>
      </w:r>
      <w:r>
        <w:rPr>
          <w:rFonts w:hint="eastAsia" w:ascii="仿宋_GB2312" w:hAnsi="仿宋_GB2312" w:cs="仿宋_GB2312"/>
          <w:b w:val="0"/>
          <w:bCs w:val="0"/>
          <w:sz w:val="32"/>
          <w:szCs w:val="32"/>
          <w:lang w:val="en-US" w:eastAsia="zh-CN"/>
        </w:rPr>
        <w:t xml:space="preserve">资金执行。</w:t>
      </w:r>
      <w:r>
        <w:rPr>
          <w:rFonts w:hint="default" w:cs="Times New Roman"/>
          <w:color w:val="auto"/>
          <w:szCs w:val="32"/>
          <w:lang w:val="en-US" w:eastAsia="zh-CN"/>
        </w:rPr>
        <w:t xml:space="preserve">专项资金应按</w:t>
      </w:r>
      <w:r>
        <w:rPr>
          <w:rFonts w:hint="eastAsia" w:cs="Times New Roman"/>
          <w:color w:val="auto"/>
          <w:szCs w:val="32"/>
          <w:lang w:val="en-US" w:eastAsia="zh-CN"/>
        </w:rPr>
        <w:t xml:space="preserve">县</w:t>
      </w:r>
      <w:r>
        <w:rPr>
          <w:rFonts w:hint="default" w:cs="Times New Roman"/>
          <w:color w:val="auto"/>
          <w:szCs w:val="32"/>
          <w:lang w:val="en-US" w:eastAsia="zh-CN"/>
        </w:rPr>
        <w:t xml:space="preserve">政府批准的预算执行，如确有需要调整预算，由</w:t>
      </w:r>
      <w:r>
        <w:rPr>
          <w:rFonts w:hint="eastAsia"/>
          <w:szCs w:val="32"/>
          <w:lang w:val="en-US" w:eastAsia="zh-CN"/>
        </w:rPr>
        <w:t xml:space="preserve">信丰高新区</w:t>
      </w:r>
      <w:r>
        <w:rPr>
          <w:rFonts w:hint="default" w:cs="Times New Roman"/>
          <w:color w:val="auto"/>
          <w:szCs w:val="32"/>
          <w:lang w:val="en-US" w:eastAsia="zh-CN"/>
        </w:rPr>
        <w:t xml:space="preserve">按预算调整的规定提出申请。资金扶持计划经</w:t>
      </w:r>
      <w:r>
        <w:rPr>
          <w:rFonts w:hint="eastAsia" w:cs="Times New Roman"/>
          <w:color w:val="auto"/>
          <w:szCs w:val="32"/>
          <w:lang w:val="en-US" w:eastAsia="zh-CN"/>
        </w:rPr>
        <w:t xml:space="preserve">县</w:t>
      </w:r>
      <w:r>
        <w:rPr>
          <w:rFonts w:hint="default" w:cs="Times New Roman"/>
          <w:color w:val="auto"/>
          <w:szCs w:val="32"/>
          <w:lang w:val="en-US" w:eastAsia="zh-CN"/>
        </w:rPr>
        <w:t xml:space="preserve">政府批复同意后，由</w:t>
      </w:r>
      <w:r>
        <w:rPr>
          <w:rFonts w:hint="eastAsia"/>
          <w:szCs w:val="32"/>
          <w:lang w:val="en-US" w:eastAsia="zh-CN"/>
        </w:rPr>
        <w:t xml:space="preserve">信丰高新区</w:t>
      </w:r>
      <w:r>
        <w:rPr>
          <w:rFonts w:hint="default" w:cs="Times New Roman"/>
          <w:color w:val="auto"/>
          <w:szCs w:val="32"/>
          <w:lang w:val="en-US" w:eastAsia="zh-CN"/>
        </w:rPr>
        <w:t xml:space="preserve">及时按财政资金拨付程序办理请款和拨付手续。</w:t>
      </w:r>
      <w:r>
        <w:rPr>
          <w:rFonts w:hint="eastAsia" w:cs="Times New Roman"/>
          <w:color w:val="auto"/>
          <w:szCs w:val="32"/>
          <w:lang w:val="en-US" w:eastAsia="zh-CN"/>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default"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第七章 绩效评价和监督管理</w:t>
      </w:r>
      <w:r>
        <w:rPr>
          <w:rFonts w:hint="default" w:ascii="黑体" w:hAnsi="宋体" w:eastAsia="黑体" w:cs="黑体"/>
          <w:color w:val="000000"/>
          <w:sz w:val="32"/>
          <w:szCs w:val="32"/>
          <w:lang w:val="en-US" w:eastAsia="zh-CN" w:bidi="ar"/>
        </w:rPr>
      </w:r>
    </w:p>
    <w:p>
      <w:pPr>
        <w:pStyle w:val="692"/>
        <w:keepNext w:val="false"/>
        <w:keepLines w:val="false"/>
        <w:pageBreakBefore w:val="false"/>
        <w:pBdr/>
        <w:spacing w:line="560" w:lineRule="exact"/>
        <w:ind w:firstLine="643" w:left="0"/>
        <w:rPr>
          <w:rFonts w:hint="eastAsia"/>
          <w:szCs w:val="32"/>
          <w:lang w:val="en-US" w:eastAsia="zh-CN"/>
        </w:rPr>
      </w:pPr>
      <w:r>
        <w:rPr>
          <w:rFonts w:hint="eastAsia" w:ascii="楷体" w:hAnsi="楷体" w:eastAsia="楷体" w:cs="楷体"/>
          <w:b/>
          <w:bCs/>
          <w:szCs w:val="32"/>
          <w:lang w:eastAsia="zh-CN"/>
        </w:rPr>
        <w:t xml:space="preserve">第十七条</w:t>
      </w:r>
      <w:r>
        <w:rPr>
          <w:rFonts w:hint="eastAsia"/>
          <w:szCs w:val="32"/>
          <w:lang w:val="en-US" w:eastAsia="zh-CN"/>
        </w:rPr>
        <w:t xml:space="preserve"> </w:t>
      </w:r>
      <w:r>
        <w:rPr>
          <w:rFonts w:hint="eastAsia"/>
          <w:szCs w:val="32"/>
        </w:rPr>
        <w:t xml:space="preserve">申报主体应遵循诚实信用原则申报专项资金，如实提供申报材料及相关证明文件。对存在弄虚作假、虚报冒领、骗取专项资金等违法违规行为的，一经查实，将立即责令其退回已拨付资金，并取消其后续</w:t>
      </w:r>
      <w:r>
        <w:rPr>
          <w:rFonts w:hint="eastAsia"/>
          <w:szCs w:val="32"/>
          <w:lang w:eastAsia="zh-CN"/>
        </w:rPr>
        <w:t xml:space="preserve">两年</w:t>
      </w:r>
      <w:r>
        <w:rPr>
          <w:rFonts w:hint="eastAsia"/>
          <w:szCs w:val="32"/>
        </w:rPr>
        <w:t xml:space="preserve">内的申报资格</w:t>
      </w:r>
      <w:r>
        <w:rPr>
          <w:rFonts w:hint="eastAsia"/>
          <w:szCs w:val="32"/>
          <w:lang w:eastAsia="zh-CN"/>
        </w:rPr>
        <w:t xml:space="preserve">；</w:t>
      </w:r>
      <w:r>
        <w:rPr>
          <w:rFonts w:hint="eastAsia"/>
          <w:szCs w:val="32"/>
        </w:rPr>
        <w:t xml:space="preserve">情节严重的，将依法依规追究相关企业及直接责任人员的法律责任。</w:t>
      </w:r>
      <w:r>
        <w:rPr>
          <w:rFonts w:hint="eastAsia"/>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 xml:space="preserve">第十八条 </w:t>
      </w:r>
      <w:r>
        <w:rPr>
          <w:rFonts w:hint="eastAsia" w:ascii="仿宋_GB2312" w:hAnsi="仿宋_GB2312" w:cs="仿宋_GB2312"/>
          <w:b w:val="0"/>
          <w:bCs w:val="0"/>
          <w:sz w:val="32"/>
          <w:szCs w:val="32"/>
          <w:lang w:val="en-US" w:eastAsia="zh-CN"/>
        </w:rPr>
        <w:t xml:space="preserve">信丰</w:t>
      </w:r>
      <w:r>
        <w:rPr>
          <w:rFonts w:hint="eastAsia" w:ascii="仿宋_GB2312" w:hAnsi="仿宋_GB2312" w:eastAsia="仿宋_GB2312" w:cs="仿宋_GB2312"/>
          <w:b w:val="0"/>
          <w:bCs w:val="0"/>
          <w:sz w:val="32"/>
          <w:szCs w:val="32"/>
          <w:lang w:val="en-US" w:eastAsia="zh-CN"/>
        </w:rPr>
        <w:t xml:space="preserve">高新区、县财政局</w:t>
      </w:r>
      <w:r>
        <w:rPr>
          <w:rFonts w:hint="eastAsia" w:ascii="仿宋_GB2312" w:hAnsi="仿宋_GB2312" w:cs="仿宋_GB2312"/>
          <w:b w:val="0"/>
          <w:bCs w:val="0"/>
          <w:sz w:val="32"/>
          <w:szCs w:val="32"/>
          <w:lang w:val="en-US" w:eastAsia="zh-CN"/>
        </w:rPr>
        <w:t xml:space="preserve">、县工信局</w:t>
      </w:r>
      <w:r>
        <w:rPr>
          <w:rFonts w:hint="eastAsia" w:ascii="仿宋_GB2312" w:hAnsi="仿宋_GB2312" w:eastAsia="仿宋_GB2312" w:cs="仿宋_GB2312"/>
          <w:b w:val="0"/>
          <w:bCs w:val="0"/>
          <w:sz w:val="32"/>
          <w:szCs w:val="32"/>
          <w:lang w:val="en-US" w:eastAsia="zh-CN"/>
        </w:rPr>
        <w:t xml:space="preserve">要严格按照预算管理有关要求，切实加强资金监管，做好</w:t>
      </w:r>
      <w:r>
        <w:rPr>
          <w:rFonts w:hint="eastAsia" w:ascii="仿宋_GB2312" w:hAnsi="仿宋_GB2312" w:cs="仿宋_GB2312"/>
          <w:b w:val="0"/>
          <w:bCs w:val="0"/>
          <w:sz w:val="32"/>
          <w:szCs w:val="32"/>
          <w:lang w:val="en-US" w:eastAsia="zh-CN"/>
        </w:rPr>
        <w:t xml:space="preserve">项目</w:t>
      </w:r>
      <w:r>
        <w:rPr>
          <w:rFonts w:hint="eastAsia" w:ascii="仿宋_GB2312" w:hAnsi="仿宋_GB2312" w:eastAsia="仿宋_GB2312" w:cs="仿宋_GB2312"/>
          <w:b w:val="0"/>
          <w:bCs w:val="0"/>
          <w:sz w:val="32"/>
          <w:szCs w:val="32"/>
          <w:lang w:val="en-US" w:eastAsia="zh-CN"/>
        </w:rPr>
        <w:t xml:space="preserve">绩效自评工作、落实绩效跟踪督查等工作，提高资金使用效益。</w:t>
      </w:r>
      <w:r>
        <w:rPr>
          <w:rFonts w:hint="eastAsia" w:ascii="仿宋_GB2312" w:hAnsi="仿宋_GB2312" w:cs="仿宋_GB2312"/>
          <w:b w:val="0"/>
          <w:bCs w:val="0"/>
          <w:sz w:val="32"/>
          <w:szCs w:val="32"/>
          <w:lang w:val="en-US" w:eastAsia="zh-CN"/>
        </w:rPr>
        <w:t xml:space="preserve">同时</w:t>
      </w:r>
      <w:r>
        <w:rPr>
          <w:rFonts w:hint="eastAsia" w:ascii="仿宋_GB2312" w:hAnsi="仿宋_GB2312" w:eastAsia="仿宋_GB2312" w:cs="仿宋_GB2312"/>
          <w:b w:val="0"/>
          <w:bCs w:val="0"/>
          <w:sz w:val="32"/>
          <w:szCs w:val="32"/>
          <w:lang w:val="en-US" w:eastAsia="zh-CN"/>
        </w:rPr>
        <w:t xml:space="preserve">自觉接受人大、审计、纪检监察等部门的监督检查。</w:t>
      </w:r>
      <w:r>
        <w:rPr>
          <w:rFonts w:hint="eastAsia" w:ascii="仿宋_GB2312" w:hAnsi="仿宋_GB2312" w:eastAsia="仿宋_GB2312" w:cs="仿宋_GB2312"/>
          <w:b w:val="0"/>
          <w:bCs w:val="0"/>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val="en-US" w:eastAsia="zh-CN"/>
        </w:rPr>
        <w:t xml:space="preserve">第十九条</w:t>
      </w:r>
      <w:r>
        <w:rPr>
          <w:rFonts w:hint="eastAsia" w:ascii="仿宋_GB2312" w:hAnsi="仿宋_GB2312" w:eastAsia="仿宋_GB2312" w:cs="仿宋_GB2312"/>
          <w:b w:val="0"/>
          <w:bCs w:val="0"/>
          <w:sz w:val="32"/>
          <w:szCs w:val="32"/>
          <w:lang w:val="en-US" w:eastAsia="zh-CN"/>
        </w:rPr>
        <w:t xml:space="preserve"> 受扶持单位要切实加强对专项资金的使用管理，严格执行财务规章制度和会计核算办法，妥善整理、保管财务及成果方面的原始凭证资料，并自觉接受</w:t>
      </w:r>
      <w:r>
        <w:rPr>
          <w:rFonts w:hint="eastAsia" w:ascii="仿宋_GB2312" w:hAnsi="仿宋_GB2312" w:cs="仿宋_GB2312"/>
          <w:b w:val="0"/>
          <w:bCs w:val="0"/>
          <w:sz w:val="32"/>
          <w:szCs w:val="32"/>
          <w:lang w:val="en-US" w:eastAsia="zh-CN"/>
        </w:rPr>
        <w:t xml:space="preserve">县</w:t>
      </w:r>
      <w:r>
        <w:rPr>
          <w:rFonts w:hint="eastAsia" w:ascii="仿宋_GB2312" w:hAnsi="仿宋_GB2312" w:eastAsia="仿宋_GB2312" w:cs="仿宋_GB2312"/>
          <w:b w:val="0"/>
          <w:bCs w:val="0"/>
          <w:sz w:val="32"/>
          <w:szCs w:val="32"/>
          <w:lang w:val="en-US" w:eastAsia="zh-CN"/>
        </w:rPr>
        <w:t xml:space="preserve">工信</w:t>
      </w:r>
      <w:r>
        <w:rPr>
          <w:rFonts w:hint="eastAsia" w:ascii="仿宋_GB2312" w:hAnsi="仿宋_GB2312" w:cs="仿宋_GB2312"/>
          <w:b w:val="0"/>
          <w:bCs w:val="0"/>
          <w:sz w:val="32"/>
          <w:szCs w:val="32"/>
          <w:lang w:val="en-US" w:eastAsia="zh-CN"/>
        </w:rPr>
        <w:t xml:space="preserve">局</w:t>
      </w:r>
      <w:r>
        <w:rPr>
          <w:rFonts w:hint="eastAsia" w:ascii="仿宋_GB2312" w:hAnsi="仿宋_GB2312" w:eastAsia="仿宋_GB2312" w:cs="仿宋_GB2312"/>
          <w:b w:val="0"/>
          <w:bCs w:val="0"/>
          <w:sz w:val="32"/>
          <w:szCs w:val="32"/>
          <w:lang w:val="en-US" w:eastAsia="zh-CN"/>
        </w:rPr>
        <w:t xml:space="preserve">、</w:t>
      </w:r>
      <w:r>
        <w:rPr>
          <w:rFonts w:hint="eastAsia" w:ascii="仿宋_GB2312" w:hAnsi="仿宋_GB2312" w:cs="仿宋_GB2312"/>
          <w:b w:val="0"/>
          <w:bCs w:val="0"/>
          <w:sz w:val="32"/>
          <w:szCs w:val="32"/>
          <w:lang w:val="en-US" w:eastAsia="zh-CN"/>
        </w:rPr>
        <w:t xml:space="preserve">县</w:t>
      </w:r>
      <w:r>
        <w:rPr>
          <w:rFonts w:hint="eastAsia" w:ascii="仿宋_GB2312" w:hAnsi="仿宋_GB2312" w:eastAsia="仿宋_GB2312" w:cs="仿宋_GB2312"/>
          <w:b w:val="0"/>
          <w:bCs w:val="0"/>
          <w:sz w:val="32"/>
          <w:szCs w:val="32"/>
          <w:lang w:val="en-US" w:eastAsia="zh-CN"/>
        </w:rPr>
        <w:t xml:space="preserve">财政</w:t>
      </w:r>
      <w:r>
        <w:rPr>
          <w:rFonts w:hint="eastAsia" w:ascii="仿宋_GB2312" w:hAnsi="仿宋_GB2312" w:cs="仿宋_GB2312"/>
          <w:b w:val="0"/>
          <w:bCs w:val="0"/>
          <w:sz w:val="32"/>
          <w:szCs w:val="32"/>
          <w:lang w:val="en-US" w:eastAsia="zh-CN"/>
        </w:rPr>
        <w:t xml:space="preserve">局</w:t>
      </w:r>
      <w:r>
        <w:rPr>
          <w:rFonts w:hint="eastAsia" w:ascii="仿宋_GB2312" w:hAnsi="仿宋_GB2312" w:eastAsia="仿宋_GB2312" w:cs="仿宋_GB2312"/>
          <w:b w:val="0"/>
          <w:bCs w:val="0"/>
          <w:sz w:val="32"/>
          <w:szCs w:val="32"/>
          <w:lang w:val="en-US" w:eastAsia="zh-CN"/>
        </w:rPr>
        <w:t xml:space="preserve">、</w:t>
      </w:r>
      <w:r>
        <w:rPr>
          <w:rFonts w:hint="eastAsia" w:ascii="仿宋_GB2312" w:hAnsi="仿宋_GB2312" w:cs="仿宋_GB2312"/>
          <w:b w:val="0"/>
          <w:bCs w:val="0"/>
          <w:sz w:val="32"/>
          <w:szCs w:val="32"/>
          <w:lang w:val="en-US" w:eastAsia="zh-CN"/>
        </w:rPr>
        <w:t xml:space="preserve">信丰高新区</w:t>
      </w:r>
      <w:r>
        <w:rPr>
          <w:rFonts w:hint="eastAsia" w:ascii="仿宋_GB2312" w:hAnsi="仿宋_GB2312" w:eastAsia="仿宋_GB2312" w:cs="仿宋_GB2312"/>
          <w:b w:val="0"/>
          <w:bCs w:val="0"/>
          <w:sz w:val="32"/>
          <w:szCs w:val="32"/>
          <w:lang w:val="en-US" w:eastAsia="zh-CN"/>
        </w:rPr>
        <w:t xml:space="preserve">审计、监察部门的监督检查，及时提供完整、真实的数据信息及资料。</w:t>
      </w:r>
      <w:r>
        <w:rPr>
          <w:rFonts w:hint="eastAsia" w:ascii="仿宋_GB2312" w:hAnsi="仿宋_GB2312" w:eastAsia="仿宋_GB2312" w:cs="仿宋_GB2312"/>
          <w:b w:val="0"/>
          <w:bCs w:val="0"/>
          <w:color w:val="auto"/>
          <w:sz w:val="32"/>
          <w:szCs w:val="32"/>
          <w:lang w:val="en-US" w:eastAsia="zh-CN"/>
        </w:rPr>
        <w:t xml:space="preserve">对于存在弄虚作假或采取不正当手段骗取套取奖补资金行为的，信丰高新区会同县财政局将依照《中华人民共和国预算法》《财政违法行为处罚处分条例》等有关规定，采取通报批评、追回专项资金等方式处理</w:t>
      </w:r>
      <w:r>
        <w:rPr>
          <w:rFonts w:hint="eastAsia" w:ascii="仿宋_GB2312" w:hAnsi="仿宋_GB2312" w:cs="仿宋_GB2312"/>
          <w:b w:val="0"/>
          <w:bCs w:val="0"/>
          <w:color w:val="auto"/>
          <w:sz w:val="32"/>
          <w:szCs w:val="32"/>
          <w:lang w:val="en-US" w:eastAsia="zh-CN"/>
        </w:rPr>
        <w:t xml:space="preserve">，</w:t>
      </w:r>
      <w:r>
        <w:rPr>
          <w:rFonts w:hint="eastAsia" w:ascii="仿宋_GB2312" w:hAnsi="仿宋_GB2312" w:eastAsia="仿宋_GB2312" w:cs="仿宋_GB2312"/>
          <w:b w:val="0"/>
          <w:bCs w:val="0"/>
          <w:color w:val="auto"/>
          <w:sz w:val="32"/>
          <w:szCs w:val="32"/>
          <w:lang w:val="en-US" w:eastAsia="zh-CN"/>
        </w:rPr>
        <w:t xml:space="preserve">并依法追究相关单位和人员的责任。项目审核过程中，如发现任何涉嫌造假行为，将直接中止审核程序。涉嫌犯罪的，依法移送司法机关处理</w:t>
      </w:r>
      <w:r>
        <w:rPr>
          <w:rFonts w:hint="eastAsia" w:ascii="仿宋_GB2312" w:hAnsi="仿宋_GB2312" w:cs="仿宋_GB2312"/>
          <w:b w:val="0"/>
          <w:bCs w:val="0"/>
          <w:color w:val="auto"/>
          <w:sz w:val="32"/>
          <w:szCs w:val="32"/>
          <w:lang w:val="en-US" w:eastAsia="zh-CN"/>
        </w:rPr>
        <w:t xml:space="preserve">。</w:t>
      </w:r>
      <w:r>
        <w:rPr>
          <w:rFonts w:hint="eastAsia" w:ascii="仿宋_GB2312" w:hAnsi="仿宋_GB2312" w:eastAsia="仿宋_GB2312" w:cs="仿宋_GB2312"/>
          <w:b w:val="0"/>
          <w:bCs w:val="0"/>
          <w:color w:val="auto"/>
          <w:sz w:val="32"/>
          <w:szCs w:val="32"/>
          <w:lang w:val="en-US" w:eastAsia="zh-CN"/>
        </w:rPr>
      </w:r>
    </w:p>
    <w:p>
      <w:pPr>
        <w:keepNext w:val="false"/>
        <w:keepLines w:val="false"/>
        <w:pageBreakBefore w:val="false"/>
        <w:widowControl w:val="false"/>
        <w:numPr>
          <w:ilvl w:val="0"/>
          <w:numId w:val="0"/>
        </w:numPr>
        <w:pBdr/>
        <w:spacing w:line="560" w:lineRule="exact"/>
        <w:ind w:firstLine="643"/>
        <w:jc w:val="both"/>
        <w:rPr>
          <w:szCs w:val="32"/>
        </w:rPr>
      </w:pPr>
      <w:r>
        <w:rPr>
          <w:rFonts w:ascii="楷体" w:hAnsi="楷体" w:eastAsia="楷体" w:cs="楷体"/>
          <w:b/>
          <w:bCs/>
          <w:color w:val="000000"/>
          <w:sz w:val="32"/>
          <w:szCs w:val="32"/>
          <w:lang w:val="en-US" w:eastAsia="zh-CN" w:bidi="ar"/>
        </w:rPr>
        <w:t xml:space="preserve">第</w:t>
      </w:r>
      <w:r>
        <w:rPr>
          <w:rFonts w:hint="eastAsia" w:ascii="楷体" w:hAnsi="楷体" w:eastAsia="楷体" w:cs="楷体"/>
          <w:b/>
          <w:bCs/>
          <w:color w:val="000000"/>
          <w:sz w:val="32"/>
          <w:szCs w:val="32"/>
          <w:lang w:val="en-US" w:eastAsia="zh-CN" w:bidi="ar"/>
        </w:rPr>
        <w:t xml:space="preserve">二十</w:t>
      </w:r>
      <w:r>
        <w:rPr>
          <w:rFonts w:ascii="楷体" w:hAnsi="楷体" w:eastAsia="楷体" w:cs="楷体"/>
          <w:b/>
          <w:bCs/>
          <w:color w:val="000000"/>
          <w:sz w:val="32"/>
          <w:szCs w:val="32"/>
          <w:lang w:val="en-US" w:eastAsia="zh-CN" w:bidi="ar"/>
        </w:rPr>
        <w:t xml:space="preserve">条</w:t>
      </w:r>
      <w:r>
        <w:rPr>
          <w:rFonts w:hint="eastAsia" w:ascii="仿宋_GB2312" w:hAnsi="仿宋_GB2312" w:eastAsia="仿宋_GB2312" w:cs="仿宋_GB2312"/>
          <w:b w:val="0"/>
          <w:bCs w:val="0"/>
          <w:sz w:val="32"/>
          <w:szCs w:val="32"/>
          <w:lang w:val="en-US" w:eastAsia="zh-CN"/>
        </w:rPr>
        <w:t xml:space="preserve"> 除涉及保密要求或重大敏感事项不予公开的内容外，</w:t>
      </w:r>
      <w:r>
        <w:rPr>
          <w:rFonts w:hint="eastAsia" w:ascii="仿宋_GB2312" w:hAnsi="仿宋_GB2312" w:cs="仿宋_GB2312"/>
          <w:b w:val="0"/>
          <w:bCs w:val="0"/>
          <w:sz w:val="32"/>
          <w:szCs w:val="32"/>
          <w:lang w:val="en-US" w:eastAsia="zh-CN"/>
        </w:rPr>
        <w:t xml:space="preserve">项目</w:t>
      </w:r>
      <w:r>
        <w:rPr>
          <w:rFonts w:hint="eastAsia" w:ascii="仿宋_GB2312" w:hAnsi="仿宋_GB2312" w:eastAsia="仿宋_GB2312" w:cs="仿宋_GB2312"/>
          <w:b w:val="0"/>
          <w:bCs w:val="0"/>
          <w:sz w:val="32"/>
          <w:szCs w:val="32"/>
          <w:lang w:val="en-US" w:eastAsia="zh-CN"/>
        </w:rPr>
        <w:t xml:space="preserve">奖补资金分配、执行和结果等全过程信息按照“谁制定、谁分配、谁使用、谁公开”的原则予以公开。主要内容包括：</w:t>
      </w:r>
      <w:r>
        <w:rPr>
          <w:szCs w:val="32"/>
        </w:rPr>
      </w:r>
    </w:p>
    <w:p>
      <w:pPr>
        <w:keepNext w:val="false"/>
        <w:keepLines w:val="false"/>
        <w:pageBreakBefore w:val="false"/>
        <w:widowControl w:val="true"/>
        <w:suppressLineNumbers w:val="false"/>
        <w:pBdr/>
        <w:spacing w:line="560" w:lineRule="exact"/>
        <w:ind w:firstLine="640"/>
        <w:jc w:val="left"/>
        <w:rPr>
          <w:szCs w:val="32"/>
        </w:rPr>
      </w:pPr>
      <w:r>
        <w:rPr>
          <w:rFonts w:hint="eastAsia" w:ascii="楷体" w:hAnsi="楷体" w:eastAsia="楷体" w:cs="楷体"/>
          <w:b w:val="0"/>
          <w:bCs w:val="0"/>
          <w:sz w:val="32"/>
          <w:szCs w:val="32"/>
          <w:lang w:val="en-US" w:eastAsia="zh-CN"/>
        </w:rPr>
        <w:t xml:space="preserve">（一）</w:t>
      </w:r>
      <w:r>
        <w:rPr>
          <w:rFonts w:hint="eastAsia" w:ascii="仿宋_GB2312" w:hAnsi="宋体" w:eastAsia="仿宋_GB2312" w:cs="仿宋_GB2312"/>
          <w:color w:val="000000"/>
          <w:sz w:val="32"/>
          <w:szCs w:val="32"/>
          <w:lang w:val="en-US" w:eastAsia="zh-CN" w:bidi="ar"/>
        </w:rPr>
        <w:t xml:space="preserve">资金管理办法；</w:t>
      </w:r>
      <w:r>
        <w:rPr>
          <w:szCs w:val="32"/>
        </w:rPr>
      </w:r>
    </w:p>
    <w:p>
      <w:pPr>
        <w:keepNext w:val="false"/>
        <w:keepLines w:val="false"/>
        <w:pageBreakBefore w:val="false"/>
        <w:widowControl w:val="true"/>
        <w:suppressLineNumbers w:val="false"/>
        <w:pBdr/>
        <w:spacing w:line="560" w:lineRule="exact"/>
        <w:ind w:firstLine="640"/>
        <w:jc w:val="left"/>
        <w:rPr>
          <w:szCs w:val="32"/>
        </w:rPr>
      </w:pPr>
      <w:r>
        <w:rPr>
          <w:rFonts w:hint="eastAsia" w:ascii="楷体" w:hAnsi="楷体" w:eastAsia="楷体" w:cs="楷体"/>
          <w:b w:val="0"/>
          <w:bCs w:val="0"/>
          <w:sz w:val="32"/>
          <w:szCs w:val="32"/>
          <w:lang w:val="en-US" w:eastAsia="zh-CN"/>
        </w:rPr>
        <w:t xml:space="preserve">（二）</w:t>
      </w:r>
      <w:r>
        <w:rPr>
          <w:rFonts w:hint="eastAsia" w:ascii="仿宋_GB2312" w:hAnsi="宋体" w:eastAsia="仿宋_GB2312" w:cs="仿宋_GB2312"/>
          <w:color w:val="000000"/>
          <w:sz w:val="32"/>
          <w:szCs w:val="32"/>
          <w:lang w:val="en-US" w:eastAsia="zh-CN" w:bidi="ar"/>
        </w:rPr>
        <w:t xml:space="preserve">申报通知；</w:t>
      </w:r>
      <w:r>
        <w:rPr>
          <w:szCs w:val="32"/>
        </w:rPr>
      </w:r>
    </w:p>
    <w:p>
      <w:pPr>
        <w:keepNext w:val="false"/>
        <w:keepLines w:val="false"/>
        <w:pageBreakBefore w:val="false"/>
        <w:widowControl w:val="true"/>
        <w:suppressLineNumbers w:val="false"/>
        <w:pBdr/>
        <w:spacing w:line="560" w:lineRule="exact"/>
        <w:ind w:firstLine="640"/>
        <w:jc w:val="left"/>
        <w:rPr>
          <w:szCs w:val="32"/>
        </w:rPr>
      </w:pPr>
      <w:r>
        <w:rPr>
          <w:rFonts w:hint="eastAsia" w:ascii="楷体" w:hAnsi="楷体" w:eastAsia="楷体" w:cs="楷体"/>
          <w:b w:val="0"/>
          <w:bCs w:val="0"/>
          <w:sz w:val="32"/>
          <w:szCs w:val="32"/>
          <w:lang w:val="en-US" w:eastAsia="zh-CN"/>
        </w:rPr>
        <w:t xml:space="preserve">（三）</w:t>
      </w:r>
      <w:r>
        <w:rPr>
          <w:rFonts w:hint="eastAsia" w:ascii="仿宋_GB2312" w:hAnsi="宋体" w:eastAsia="仿宋_GB2312" w:cs="仿宋_GB2312"/>
          <w:color w:val="000000"/>
          <w:sz w:val="32"/>
          <w:szCs w:val="32"/>
          <w:lang w:val="en-US" w:eastAsia="zh-CN" w:bidi="ar"/>
        </w:rPr>
        <w:t xml:space="preserve">分配结果；</w:t>
      </w:r>
      <w:r>
        <w:rPr>
          <w:szCs w:val="32"/>
        </w:rPr>
      </w:r>
    </w:p>
    <w:p>
      <w:pPr>
        <w:keepNext w:val="false"/>
        <w:keepLines w:val="false"/>
        <w:pageBreakBefore w:val="false"/>
        <w:widowControl w:val="true"/>
        <w:suppressLineNumbers w:val="false"/>
        <w:pBdr/>
        <w:spacing w:line="560" w:lineRule="exact"/>
        <w:ind w:firstLine="640"/>
        <w:jc w:val="left"/>
        <w:rPr>
          <w:szCs w:val="32"/>
        </w:rPr>
      </w:pPr>
      <w:r>
        <w:rPr>
          <w:rFonts w:hint="eastAsia" w:ascii="楷体" w:hAnsi="楷体" w:eastAsia="楷体" w:cs="楷体"/>
          <w:b w:val="0"/>
          <w:bCs w:val="0"/>
          <w:sz w:val="32"/>
          <w:szCs w:val="32"/>
          <w:lang w:val="en-US" w:eastAsia="zh-CN"/>
        </w:rPr>
        <w:t xml:space="preserve">（四）</w:t>
      </w:r>
      <w:r>
        <w:rPr>
          <w:rFonts w:hint="eastAsia" w:ascii="仿宋_GB2312" w:hAnsi="宋体" w:eastAsia="仿宋_GB2312" w:cs="仿宋_GB2312"/>
          <w:color w:val="000000"/>
          <w:sz w:val="32"/>
          <w:szCs w:val="32"/>
          <w:lang w:val="en-US" w:eastAsia="zh-CN" w:bidi="ar"/>
        </w:rPr>
        <w:t xml:space="preserve">绩效评价和审计结果；</w:t>
      </w:r>
      <w:r>
        <w:rPr>
          <w:szCs w:val="32"/>
        </w:rPr>
      </w:r>
    </w:p>
    <w:p>
      <w:pPr>
        <w:keepNext w:val="false"/>
        <w:keepLines w:val="false"/>
        <w:pageBreakBefore w:val="false"/>
        <w:widowControl w:val="true"/>
        <w:suppressLineNumbers w:val="false"/>
        <w:pBdr/>
        <w:spacing w:line="560" w:lineRule="exact"/>
        <w:ind w:firstLine="640"/>
        <w:jc w:val="left"/>
        <w:rPr>
          <w:szCs w:val="32"/>
        </w:rPr>
      </w:pPr>
      <w:r>
        <w:rPr>
          <w:rFonts w:hint="eastAsia" w:ascii="楷体" w:hAnsi="楷体" w:eastAsia="楷体" w:cs="楷体"/>
          <w:b w:val="0"/>
          <w:bCs w:val="0"/>
          <w:sz w:val="32"/>
          <w:szCs w:val="32"/>
          <w:lang w:val="en-US" w:eastAsia="zh-CN"/>
        </w:rPr>
        <w:t xml:space="preserve">（五）</w:t>
      </w:r>
      <w:r>
        <w:rPr>
          <w:rFonts w:hint="eastAsia" w:ascii="仿宋_GB2312" w:hAnsi="宋体" w:eastAsia="仿宋_GB2312" w:cs="仿宋_GB2312"/>
          <w:color w:val="000000"/>
          <w:sz w:val="32"/>
          <w:szCs w:val="32"/>
          <w:lang w:val="en-US" w:eastAsia="zh-CN" w:bidi="ar"/>
        </w:rPr>
        <w:t xml:space="preserve">接受、处理投诉情况；</w:t>
      </w:r>
      <w:r>
        <w:rPr>
          <w:szCs w:val="32"/>
        </w:rPr>
      </w:r>
    </w:p>
    <w:p>
      <w:pPr>
        <w:keepNext w:val="false"/>
        <w:keepLines w:val="false"/>
        <w:pageBreakBefore w:val="false"/>
        <w:widowControl w:val="true"/>
        <w:suppressLineNumbers w:val="false"/>
        <w:pBdr/>
        <w:spacing w:line="560" w:lineRule="exact"/>
        <w:ind w:firstLine="640"/>
        <w:jc w:val="left"/>
        <w:rPr>
          <w:szCs w:val="32"/>
        </w:rPr>
      </w:pPr>
      <w:r>
        <w:rPr>
          <w:rFonts w:hint="eastAsia" w:ascii="楷体" w:hAnsi="楷体" w:eastAsia="楷体" w:cs="楷体"/>
          <w:b w:val="0"/>
          <w:bCs w:val="0"/>
          <w:sz w:val="32"/>
          <w:szCs w:val="32"/>
          <w:lang w:val="en-US" w:eastAsia="zh-CN"/>
        </w:rPr>
        <w:t xml:space="preserve">（六）</w:t>
      </w:r>
      <w:r>
        <w:rPr>
          <w:rFonts w:hint="eastAsia" w:ascii="仿宋_GB2312" w:hAnsi="宋体" w:eastAsia="仿宋_GB2312" w:cs="仿宋_GB2312"/>
          <w:color w:val="000000"/>
          <w:sz w:val="32"/>
          <w:szCs w:val="32"/>
          <w:lang w:val="en-US" w:eastAsia="zh-CN" w:bidi="ar"/>
        </w:rPr>
        <w:t xml:space="preserve">其他按规定应公开的内容。</w:t>
      </w:r>
      <w:r>
        <w:rPr>
          <w:szCs w:val="32"/>
        </w:rPr>
      </w:r>
    </w:p>
    <w:p>
      <w:pPr>
        <w:keepNext w:val="false"/>
        <w:keepLines w:val="false"/>
        <w:pageBreakBefore w:val="false"/>
        <w:widowControl w:val="false"/>
        <w:numPr>
          <w:ilvl w:val="0"/>
          <w:numId w:val="0"/>
        </w:numPr>
        <w:pBdr/>
        <w:spacing w:after="79" w:before="79" w:line="560" w:lineRule="exact"/>
        <w:ind w:firstLine="640" w:left="0"/>
        <w:jc w:val="center"/>
        <w:outlineLvl w:val="0"/>
        <w:rPr>
          <w:rFonts w:hint="eastAsia" w:ascii="黑体" w:hAnsi="宋体" w:eastAsia="黑体" w:cs="黑体"/>
          <w:color w:val="000000"/>
          <w:sz w:val="32"/>
          <w:szCs w:val="32"/>
          <w:lang w:val="en-US" w:eastAsia="zh-CN" w:bidi="ar"/>
        </w:rPr>
      </w:pPr>
      <w:r>
        <w:rPr>
          <w:rFonts w:hint="eastAsia" w:ascii="黑体" w:hAnsi="宋体" w:eastAsia="黑体" w:cs="黑体"/>
          <w:color w:val="000000"/>
          <w:sz w:val="32"/>
          <w:szCs w:val="32"/>
          <w:lang w:val="en-US" w:eastAsia="zh-CN" w:bidi="ar"/>
        </w:rPr>
        <w:t xml:space="preserve">第八章 附则</w:t>
      </w:r>
      <w:r>
        <w:rPr>
          <w:rFonts w:hint="eastAsia" w:ascii="黑体" w:hAnsi="宋体" w:eastAsia="黑体" w:cs="黑体"/>
          <w:color w:val="000000"/>
          <w:sz w:val="32"/>
          <w:szCs w:val="32"/>
          <w:lang w:val="en-US" w:eastAsia="zh-CN" w:bidi="ar"/>
        </w:rPr>
      </w:r>
    </w:p>
    <w:p>
      <w:pPr>
        <w:keepNext w:val="false"/>
        <w:keepLines w:val="false"/>
        <w:pageBreakBefore w:val="false"/>
        <w:widowControl w:val="true"/>
        <w:suppressLineNumbers w:val="false"/>
        <w:pBdr/>
        <w:spacing w:line="560" w:lineRule="exact"/>
        <w:ind w:firstLine="643"/>
        <w:jc w:val="both"/>
        <w:rPr>
          <w:rFonts w:hint="eastAsia" w:ascii="仿宋_GB2312" w:hAnsi="宋体" w:eastAsia="仿宋_GB2312" w:cs="仿宋_GB2312"/>
          <w:color w:val="000000"/>
          <w:sz w:val="32"/>
          <w:szCs w:val="32"/>
          <w:lang w:val="en-US" w:eastAsia="zh-CN" w:bidi="ar"/>
        </w:rPr>
      </w:pPr>
      <w:r>
        <w:rPr>
          <w:rFonts w:hint="eastAsia" w:ascii="楷体" w:hAnsi="楷体" w:eastAsia="楷体" w:cs="楷体"/>
          <w:b/>
          <w:bCs/>
          <w:color w:val="000000"/>
          <w:sz w:val="32"/>
          <w:szCs w:val="32"/>
          <w:lang w:val="en-US" w:eastAsia="zh-CN" w:bidi="ar"/>
        </w:rPr>
        <w:t xml:space="preserve">第二十一条</w:t>
      </w:r>
      <w:r>
        <w:rPr>
          <w:rFonts w:ascii="楷体" w:hAnsi="楷体" w:eastAsia="楷体" w:cs="楷体"/>
          <w:b/>
          <w:bCs/>
          <w:color w:val="000000"/>
          <w:sz w:val="32"/>
          <w:szCs w:val="32"/>
          <w:lang w:val="en-US" w:eastAsia="zh-CN" w:bidi="ar"/>
        </w:rPr>
        <w:t xml:space="preserve"> </w:t>
      </w:r>
      <w:r>
        <w:rPr>
          <w:rFonts w:ascii="仿宋_GB2312" w:hAnsi="宋体" w:eastAsia="仿宋_GB2312" w:cs="仿宋_GB2312"/>
          <w:color w:val="000000"/>
          <w:sz w:val="32"/>
          <w:szCs w:val="32"/>
          <w:lang w:val="en-US" w:eastAsia="zh-CN" w:bidi="ar"/>
        </w:rPr>
        <w:t xml:space="preserve">本管理办法由</w:t>
      </w:r>
      <w:r>
        <w:rPr>
          <w:rFonts w:hint="eastAsia" w:ascii="仿宋_GB2312" w:hAnsi="宋体" w:cs="仿宋_GB2312"/>
          <w:color w:val="000000"/>
          <w:sz w:val="32"/>
          <w:szCs w:val="32"/>
          <w:lang w:val="en-US" w:eastAsia="zh-CN" w:bidi="ar"/>
        </w:rPr>
        <w:t xml:space="preserve">信丰高新区</w:t>
      </w:r>
      <w:r>
        <w:rPr>
          <w:rFonts w:ascii="仿宋_GB2312" w:hAnsi="宋体" w:eastAsia="仿宋_GB2312" w:cs="仿宋_GB2312"/>
          <w:color w:val="000000"/>
          <w:sz w:val="32"/>
          <w:szCs w:val="32"/>
          <w:lang w:val="en-US" w:eastAsia="zh-CN" w:bidi="ar"/>
        </w:rPr>
        <w:t xml:space="preserve">、</w:t>
      </w:r>
      <w:r>
        <w:rPr>
          <w:rFonts w:hint="eastAsia" w:ascii="仿宋_GB2312" w:hAnsi="宋体" w:cs="仿宋_GB2312"/>
          <w:color w:val="000000"/>
          <w:sz w:val="32"/>
          <w:szCs w:val="32"/>
          <w:lang w:val="en-US" w:eastAsia="zh-CN" w:bidi="ar"/>
        </w:rPr>
        <w:t xml:space="preserve">县</w:t>
      </w:r>
      <w:r>
        <w:rPr>
          <w:rFonts w:ascii="仿宋_GB2312" w:hAnsi="宋体" w:eastAsia="仿宋_GB2312" w:cs="仿宋_GB2312"/>
          <w:color w:val="000000"/>
          <w:sz w:val="32"/>
          <w:szCs w:val="32"/>
          <w:lang w:val="en-US" w:eastAsia="zh-CN" w:bidi="ar"/>
        </w:rPr>
        <w:t xml:space="preserve">财政局</w:t>
      </w:r>
      <w:r>
        <w:rPr>
          <w:rFonts w:hint="eastAsia" w:ascii="仿宋_GB2312" w:hAnsi="宋体" w:cs="仿宋_GB2312"/>
          <w:color w:val="000000"/>
          <w:sz w:val="32"/>
          <w:szCs w:val="32"/>
          <w:lang w:val="en-US" w:eastAsia="zh-CN" w:bidi="ar"/>
        </w:rPr>
        <w:t xml:space="preserve">、县工信局</w:t>
      </w:r>
      <w:r>
        <w:rPr>
          <w:rFonts w:hint="eastAsia" w:ascii="仿宋_GB2312" w:hAnsi="宋体" w:eastAsia="仿宋_GB2312" w:cs="仿宋_GB2312"/>
          <w:color w:val="000000"/>
          <w:sz w:val="32"/>
          <w:szCs w:val="32"/>
          <w:lang w:val="en-US" w:eastAsia="zh-CN" w:bidi="ar"/>
        </w:rPr>
        <w:t xml:space="preserve">负责解释，可视有关工作要求或相关评估情况进行调整。</w:t>
      </w:r>
      <w:r>
        <w:rPr>
          <w:rFonts w:hint="eastAsia" w:ascii="仿宋_GB2312" w:hAnsi="宋体" w:eastAsia="仿宋_GB2312" w:cs="仿宋_GB2312"/>
          <w:color w:val="000000"/>
          <w:sz w:val="32"/>
          <w:szCs w:val="32"/>
          <w:lang w:val="en-US" w:eastAsia="zh-CN" w:bidi="ar"/>
        </w:rPr>
      </w:r>
    </w:p>
    <w:p>
      <w:pPr>
        <w:pStyle w:val="692"/>
        <w:keepNext w:val="false"/>
        <w:keepLines w:val="false"/>
        <w:pageBreakBefore w:val="false"/>
        <w:pBdr/>
        <w:spacing w:line="560" w:lineRule="exact"/>
        <w:ind w:firstLine="643" w:left="0"/>
        <w:rPr>
          <w:szCs w:val="32"/>
        </w:rPr>
      </w:pPr>
      <w:r>
        <w:rPr>
          <w:rFonts w:hint="eastAsia" w:ascii="楷体" w:hAnsi="楷体" w:eastAsia="楷体" w:cs="楷体"/>
          <w:b/>
          <w:bCs/>
          <w:szCs w:val="32"/>
          <w:lang w:eastAsia="zh-CN"/>
        </w:rPr>
        <w:t xml:space="preserve">第二十二条</w:t>
      </w:r>
      <w:r>
        <w:rPr>
          <w:rFonts w:hint="eastAsia"/>
          <w:szCs w:val="32"/>
          <w:lang w:val="en-US" w:eastAsia="zh-CN"/>
        </w:rPr>
        <w:t xml:space="preserve"> </w:t>
      </w:r>
      <w:r>
        <w:rPr>
          <w:rFonts w:hint="eastAsia"/>
          <w:szCs w:val="32"/>
        </w:rPr>
        <w:t xml:space="preserve">本管理办法在执行过程中，如遇国家、省、市出台关于产业集群和中小企业数字化转型试点项目资金管理的最新专项政策，且与本办法规定不一致的</w:t>
      </w:r>
      <w:r>
        <w:rPr>
          <w:rFonts w:hint="eastAsia"/>
          <w:szCs w:val="32"/>
          <w:lang w:eastAsia="zh-CN"/>
        </w:rPr>
        <w:t xml:space="preserve">，</w:t>
      </w:r>
      <w:r>
        <w:rPr>
          <w:rFonts w:hint="eastAsia"/>
          <w:szCs w:val="32"/>
        </w:rPr>
        <w:t xml:space="preserve">按照上级最新政策执行</w:t>
      </w:r>
      <w:r>
        <w:rPr>
          <w:rFonts w:hint="eastAsia"/>
          <w:szCs w:val="32"/>
          <w:lang w:eastAsia="zh-CN"/>
        </w:rPr>
        <w:t xml:space="preserve">；</w:t>
      </w:r>
      <w:r>
        <w:rPr>
          <w:rFonts w:hint="eastAsia"/>
          <w:szCs w:val="32"/>
        </w:rPr>
        <w:t xml:space="preserve">本办法未尽事宜，参照上级相关政策规定办理。</w:t>
      </w:r>
      <w:r>
        <w:rPr>
          <w:szCs w:val="32"/>
        </w:rPr>
      </w:r>
    </w:p>
    <w:p>
      <w:pPr>
        <w:keepNext w:val="false"/>
        <w:keepLines w:val="false"/>
        <w:pageBreakBefore w:val="false"/>
        <w:widowControl w:val="true"/>
        <w:suppressLineNumbers w:val="false"/>
        <w:pBdr/>
        <w:spacing w:line="560" w:lineRule="exact"/>
        <w:ind w:firstLine="643"/>
        <w:jc w:val="both"/>
        <w:rPr>
          <w:rFonts w:hint="eastAsia" w:ascii="仿宋_GB2312" w:hAnsi="宋体" w:eastAsia="仿宋_GB2312" w:cs="仿宋_GB2312"/>
          <w:color w:val="000000"/>
          <w:sz w:val="31"/>
          <w:szCs w:val="31"/>
          <w:lang w:val="en-US" w:eastAsia="zh-CN" w:bidi="ar"/>
        </w:rPr>
      </w:pPr>
      <w:r>
        <w:rPr>
          <w:rFonts w:hint="eastAsia" w:ascii="楷体" w:hAnsi="楷体" w:eastAsia="楷体" w:cs="楷体"/>
          <w:b/>
          <w:bCs/>
          <w:color w:val="000000"/>
          <w:sz w:val="32"/>
          <w:szCs w:val="32"/>
          <w:lang w:val="en-US" w:eastAsia="zh-CN" w:bidi="ar"/>
        </w:rPr>
        <w:t xml:space="preserve">第二十三条 </w:t>
      </w:r>
      <w:r>
        <w:rPr>
          <w:rFonts w:hint="eastAsia" w:ascii="仿宋_GB2312" w:hAnsi="宋体" w:eastAsia="仿宋_GB2312" w:cs="仿宋_GB2312"/>
          <w:color w:val="000000"/>
          <w:sz w:val="32"/>
          <w:szCs w:val="32"/>
          <w:lang w:val="en-US" w:eastAsia="zh-CN" w:bidi="ar"/>
        </w:rPr>
        <w:t xml:space="preserve">本管理办法自印发之日起30日后施行，有效期</w:t>
      </w:r>
      <w:r>
        <w:rPr>
          <w:rFonts w:hint="eastAsia" w:ascii="仿宋_GB2312" w:hAnsi="宋体" w:cs="仿宋_GB2312"/>
          <w:color w:val="000000"/>
          <w:sz w:val="32"/>
          <w:szCs w:val="32"/>
          <w:lang w:val="en-US" w:eastAsia="zh-CN" w:bidi="ar"/>
        </w:rPr>
        <w:t xml:space="preserve">两年</w:t>
      </w:r>
      <w:r>
        <w:rPr>
          <w:rFonts w:hint="eastAsia" w:ascii="仿宋_GB2312" w:hAnsi="宋体" w:eastAsia="仿宋_GB2312" w:cs="仿宋_GB2312"/>
          <w:color w:val="000000"/>
          <w:sz w:val="32"/>
          <w:szCs w:val="32"/>
          <w:lang w:val="en-US" w:eastAsia="zh-CN" w:bidi="ar"/>
        </w:rPr>
        <w:t xml:space="preserve">。</w:t>
      </w:r>
      <w:r>
        <w:rPr>
          <w:rFonts w:hint="eastAsia" w:ascii="仿宋_GB2312" w:hAnsi="宋体" w:eastAsia="仿宋_GB2312" w:cs="仿宋_GB2312"/>
          <w:color w:val="000000"/>
          <w:sz w:val="31"/>
          <w:szCs w:val="31"/>
          <w:lang w:val="en-US" w:eastAsia="zh-CN" w:bidi="ar"/>
        </w:rPr>
      </w:r>
    </w:p>
    <w:p>
      <w:pPr>
        <w:pBdr/>
        <w:spacing/>
        <w:ind/>
        <w:rPr>
          <w:rFonts w:hint="default"/>
          <w:sz w:val="21"/>
          <w:szCs w:val="21"/>
          <w:lang w:val="en-US" w:eastAsia="zh-CN"/>
        </w:rPr>
      </w:pPr>
      <w:r>
        <w:rPr>
          <w:rFonts w:hint="default"/>
          <w:sz w:val="21"/>
          <w:szCs w:val="21"/>
          <w:lang w:val="en-US" w:eastAsia="zh-CN"/>
        </w:rPr>
      </w:r>
      <w:r>
        <w:rPr>
          <w:rFonts w:hint="default"/>
          <w:sz w:val="21"/>
          <w:szCs w:val="21"/>
          <w:lang w:val="en-US" w:eastAsia="zh-CN"/>
        </w:rPr>
      </w:r>
    </w:p>
    <w:p>
      <w:pPr>
        <w:pStyle w:val="692"/>
        <w:pBdr/>
        <w:spacing/>
        <w:ind/>
        <w:rPr>
          <w:rFonts w:hint="default"/>
          <w:lang w:val="en-US" w:eastAsia="zh-CN"/>
        </w:rPr>
      </w:pPr>
      <w:r>
        <w:rPr>
          <w:rFonts w:hint="default"/>
          <w:lang w:val="en-US" w:eastAsia="zh-CN"/>
        </w:rPr>
      </w:r>
      <w:r>
        <w:rPr>
          <w:rFonts w:hint="default"/>
          <w:lang w:val="en-US" w:eastAsia="zh-CN"/>
        </w:rPr>
      </w:r>
    </w:p>
    <w:p>
      <w:pPr>
        <w:pStyle w:val="692"/>
        <w:pBdr/>
        <w:spacing/>
        <w:ind w:firstLine="0" w:left="0"/>
        <w:rPr>
          <w:rFonts w:hint="default"/>
          <w:lang w:val="en-US" w:eastAsia="zh-CN"/>
        </w:rPr>
      </w:pPr>
      <w:r>
        <w:rPr>
          <w:rFonts w:hint="default"/>
          <w:lang w:val="en-US" w:eastAsia="zh-CN"/>
        </w:rPr>
      </w:r>
      <w:r>
        <w:rPr>
          <w:rFonts w:hint="default"/>
          <w:lang w:val="en-US" w:eastAsia="zh-CN"/>
        </w:rPr>
      </w:r>
    </w:p>
    <w:p>
      <w:pPr>
        <w:keepNext w:val="false"/>
        <w:keepLines w:val="false"/>
        <w:pageBreakBefore w:val="false"/>
        <w:widowControl w:val="true"/>
        <w:pBdr/>
        <w:spacing w:after="0" w:line="560" w:lineRule="exact"/>
        <w:ind w:firstLine="0" w:left="0"/>
        <w:rPr>
          <w:rFonts w:hint="eastAsia" w:ascii="Times New Roman" w:hAnsi="Times New Roman" w:eastAsia="仿宋_GB2312" w:cs="Times New Roman"/>
          <w:b w:val="0"/>
          <w:bCs w:val="0"/>
          <w:color w:val="auto"/>
          <w:sz w:val="32"/>
          <w:szCs w:val="32"/>
          <w:lang w:val="en-US" w:eastAsia="zh-CN" w:bidi="ar-SA"/>
        </w:rPr>
      </w:pPr>
      <w:r>
        <w:rPr>
          <w:rFonts w:hint="eastAsia" w:ascii="仿宋_GB2312" w:hAnsi="仿宋_GB2312" w:eastAsia="仿宋_GB2312" w:cs="仿宋_GB2312"/>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-36830</wp:posOffset>
                </wp:positionH>
                <wp:positionV relativeFrom="paragraph">
                  <wp:posOffset>412750</wp:posOffset>
                </wp:positionV>
                <wp:extent cx="5667375" cy="0"/>
                <wp:effectExtent l="0" t="9525" r="9525" b="9525"/>
                <wp:wrapNone/>
                <wp:docPr id="2" name="直接连接符 5"/>
                <wp:cNvGraphicFramePr/>
                <a:graphic xmlns:a="http://schemas.openxmlformats.org/drawingml/2006/main">
                  <a:graphicData uri="http://schemas.microsoft.com/office/word/2010/wordprocessingShape">
                    <wps:wsp>
                      <wps:cNvPr id="0" name=""/>
                      <wps:cNvSpPr/>
                      <wps:spPr bwMode="auto">
                        <a:xfrm>
                          <a:off x="0" y="0"/>
                          <a:ext cx="5667375" cy="0"/>
                        </a:xfrm>
                        <a:prstGeom prst="line">
                          <a:avLst/>
                        </a:prstGeom>
                        <a:ln w="19050" cap="flat" cmpd="sng">
                          <a:solidFill>
                            <a:srgbClr val="000000"/>
                          </a:solidFill>
                          <a:prstDash val="solid"/>
                          <a:headEnd type="none" w="med" len="med"/>
                          <a:tailEnd type="none" w="med" len="med"/>
                        </a:ln>
                        <a:effectLst/>
                      </wps:spPr>
                      <wps:bodyPr rot="0">
                        <a:prstTxWarp prst="textNoShape">
                          <a:avLst/>
                        </a:prstTxWarp>
                        <a:noAutofit/>
                      </wps:bodyPr>
                    </wps:wsp>
                  </a:graphicData>
                </a:graphic>
              </wp:anchor>
            </w:drawing>
          </mc:Choice>
          <mc:Fallback>
            <w:pict>
              <v:line id="shape 1" o:spid="_x0000_s1" style="position:absolute;left:0;text-align:left;z-index:251660288;mso-wrap-distance-left:9.00pt;mso-wrap-distance-top:0.00pt;mso-wrap-distance-right:9.00pt;mso-wrap-distance-bottom:0.00pt;visibility:visible;" from="-2.9pt,32.5pt" to="443.4pt,32.5pt" filled="f" strokecolor="#000000" strokeweight="1.50pt">
                <v:stroke dashstyle="solid"/>
              </v:line>
            </w:pict>
          </mc:Fallback>
        </mc:AlternateContent>
      </w:r>
      <w:r>
        <w:rPr>
          <w:rFonts w:hint="eastAsia" w:ascii="仿宋_GB2312" w:hAnsi="仿宋_GB2312" w:eastAsia="仿宋_GB2312" w:cs="仿宋_GB2312"/>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-36830</wp:posOffset>
                </wp:positionH>
                <wp:positionV relativeFrom="paragraph">
                  <wp:posOffset>41275</wp:posOffset>
                </wp:positionV>
                <wp:extent cx="5667375" cy="0"/>
                <wp:effectExtent l="0" t="9525" r="9525" b="9525"/>
                <wp:wrapNone/>
                <wp:docPr id="3" name="直接连接符 4"/>
                <wp:cNvGraphicFramePr/>
                <a:graphic xmlns:a="http://schemas.openxmlformats.org/drawingml/2006/main">
                  <a:graphicData uri="http://schemas.microsoft.com/office/word/2010/wordprocessingShape">
                    <wps:wsp>
                      <wps:cNvPr id="0" name=""/>
                      <wps:cNvSpPr/>
                      <wps:spPr bwMode="auto">
                        <a:xfrm>
                          <a:off x="0" y="0"/>
                          <a:ext cx="5667375" cy="0"/>
                        </a:xfrm>
                        <a:prstGeom prst="line">
                          <a:avLst/>
                        </a:prstGeom>
                        <a:ln w="19050" cap="flat" cmpd="sng">
                          <a:solidFill>
                            <a:srgbClr val="000000"/>
                          </a:solidFill>
                          <a:prstDash val="solid"/>
                          <a:headEnd type="none" w="med" len="med"/>
                          <a:tailEnd type="none" w="med" len="med"/>
                        </a:ln>
                        <a:effectLst/>
                      </wps:spPr>
                      <wps:bodyPr rot="0">
                        <a:prstTxWarp prst="textNoShape">
                          <a:avLst/>
                        </a:prstTxWarp>
                        <a:noAutofit/>
                      </wps:bodyPr>
                    </wps:wsp>
                  </a:graphicData>
                </a:graphic>
              </wp:anchor>
            </w:drawing>
          </mc:Choice>
          <mc:Fallback>
            <w:pict>
              <v:line id="shape 2" o:spid="_x0000_s2" style="position:absolute;left:0;text-align:left;z-index:251661312;mso-wrap-distance-left:9.00pt;mso-wrap-distance-top:0.00pt;mso-wrap-distance-right:9.00pt;mso-wrap-distance-bottom:0.00pt;visibility:visible;" from="-2.9pt,3.2pt" to="443.4pt,3.2pt" filled="f" strokecolor="#000000" strokeweight="1.50pt">
                <v:stroke dashstyle="solid"/>
              </v:line>
            </w:pict>
          </mc:Fallback>
        </mc:AlternateContent>
      </w:r>
      <w:r>
        <w:rPr>
          <w:rFonts w:hint="eastAsia" w:ascii="仿宋_GB2312" w:hAnsi="仿宋_GB2312" w:eastAsia="仿宋_GB2312" w:cs="仿宋_GB2312"/>
          <w:sz w:val="28"/>
          <w:szCs w:val="28"/>
        </w:rPr>
        <w:t xml:space="preserve">江西信丰</w:t>
      </w:r>
      <w:r>
        <w:rPr>
          <w:rFonts w:hint="eastAsia" w:ascii="仿宋_GB2312" w:hAnsi="仿宋_GB2312" w:eastAsia="仿宋_GB2312" w:cs="仿宋_GB2312"/>
          <w:sz w:val="28"/>
          <w:szCs w:val="28"/>
          <w:lang w:eastAsia="zh-CN"/>
        </w:rPr>
        <w:t xml:space="preserve">高新技术产业</w:t>
      </w:r>
      <w:r>
        <w:rPr>
          <w:rFonts w:hint="eastAsia" w:ascii="仿宋_GB2312" w:hAnsi="仿宋_GB2312" w:eastAsia="仿宋_GB2312" w:cs="仿宋_GB2312"/>
          <w:sz w:val="28"/>
          <w:szCs w:val="28"/>
        </w:rPr>
        <w:t xml:space="preserve">园区管理委员会办公室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w:t>
      </w:r>
      <w:r>
        <w:rPr>
          <w:rFonts w:hint="eastAsia" w:ascii="仿宋_GB2312" w:hAnsi="仿宋_GB2312" w:eastAsia="仿宋_GB2312" w:cs="仿宋_GB2312"/>
          <w:sz w:val="28"/>
          <w:szCs w:val="28"/>
          <w:lang w:val="en-US" w:eastAsia="zh-CN"/>
        </w:rPr>
        <w:t xml:space="preserve">25</w:t>
      </w:r>
      <w:r>
        <w:rPr>
          <w:rFonts w:hint="eastAsia" w:ascii="仿宋_GB2312" w:hAnsi="仿宋_GB2312" w:eastAsia="仿宋_GB2312" w:cs="仿宋_GB2312"/>
          <w:sz w:val="28"/>
          <w:szCs w:val="28"/>
        </w:rPr>
        <w:t xml:space="preserve">年</w:t>
      </w:r>
      <w:r>
        <w:rPr>
          <w:rFonts w:hint="eastAsia" w:ascii="仿宋_GB2312" w:hAnsi="仿宋_GB2312" w:cs="仿宋_GB2312"/>
          <w:sz w:val="28"/>
          <w:szCs w:val="28"/>
          <w:lang w:val="en-US" w:eastAsia="zh-CN"/>
        </w:rPr>
        <w:t xml:space="preserve">9</w:t>
      </w:r>
      <w:r>
        <w:rPr>
          <w:rFonts w:hint="eastAsia" w:ascii="仿宋_GB2312" w:hAnsi="仿宋_GB2312" w:eastAsia="仿宋_GB2312" w:cs="仿宋_GB2312"/>
          <w:sz w:val="28"/>
          <w:szCs w:val="28"/>
        </w:rPr>
        <w:t xml:space="preserve">月</w:t>
      </w:r>
      <w:r>
        <w:rPr>
          <w:rFonts w:hint="eastAsia" w:ascii="仿宋_GB2312" w:hAnsi="仿宋_GB2312" w:cs="仿宋_GB2312"/>
          <w:sz w:val="28"/>
          <w:szCs w:val="28"/>
          <w:lang w:val="en-US" w:eastAsia="zh-CN"/>
        </w:rPr>
        <w:t xml:space="preserve">28</w:t>
      </w:r>
      <w:r>
        <w:rPr>
          <w:rFonts w:hint="eastAsia" w:ascii="仿宋_GB2312" w:hAnsi="仿宋_GB2312" w:eastAsia="仿宋_GB2312" w:cs="仿宋_GB2312"/>
          <w:sz w:val="28"/>
          <w:szCs w:val="28"/>
        </w:rPr>
        <w:t xml:space="preserve">日印</w:t>
      </w:r>
      <w:r>
        <w:rPr>
          <w:rFonts w:hint="eastAsia" w:ascii="仿宋_GB2312" w:hAnsi="仿宋_GB2312" w:eastAsia="仿宋_GB2312" w:cs="仿宋_GB2312"/>
          <w:sz w:val="28"/>
          <w:szCs w:val="28"/>
          <w:lang w:eastAsia="zh-CN"/>
        </w:rPr>
        <w:t xml:space="preserve">发</w:t>
      </w:r>
      <w:r>
        <w:rPr>
          <w:rFonts w:hint="eastAsia" w:ascii="Times New Roman" w:hAnsi="Times New Roman" w:eastAsia="仿宋_GB2312" w:cs="Times New Roman"/>
          <w:b w:val="0"/>
          <w:bCs w:val="0"/>
          <w:color w:val="auto"/>
          <w:sz w:val="32"/>
          <w:szCs w:val="32"/>
          <w:lang w:val="en-US" w:eastAsia="zh-CN" w:bidi="ar-SA"/>
        </w:rPr>
      </w:r>
    </w:p>
    <w:p>
      <w:pPr>
        <w:keepNext w:val="false"/>
        <w:keepLines w:val="false"/>
        <w:pageBreakBefore w:val="false"/>
        <w:widowControl w:val="false"/>
        <w:pBdr/>
        <w:spacing w:line="20" w:lineRule="exact"/>
        <w:ind w:firstLine="0" w:left="0"/>
        <w:rPr>
          <w:sz w:val="15"/>
          <w:szCs w:val="15"/>
        </w:rPr>
      </w:pPr>
      <w:r>
        <w:rPr>
          <w:sz w:val="15"/>
          <w:szCs w:val="15"/>
        </w:rPr>
      </w:r>
      <w:r>
        <w:rPr>
          <w:sz w:val="15"/>
          <w:szCs w:val="15"/>
        </w:rPr>
      </w:r>
    </w:p>
    <w:sectPr>
      <w:footerReference w:type="default" r:id="rId8"/>
      <w:footnotePr/>
      <w:endnotePr/>
      <w:type w:val="nextPage"/>
      <w:pgSz w:h="16838" w:orient="landscape" w:w="11906"/>
      <w:pgMar w:top="2098" w:right="1531" w:bottom="1984" w:left="1531"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firstLine="640"/>
        <w:rPr/>
      </w:pPr>
      <w:r>
        <w:separator/>
      </w:r>
      <w:r/>
    </w:p>
  </w:endnote>
  <w:endnote w:type="continuationSeparator" w:id="0">
    <w:p>
      <w:pPr>
        <w:pBdr/>
        <w:spacing/>
        <w:ind w:firstLine="640"/>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宋体">
    <w:panose1 w:val="02010600030101010101"/>
  </w:font>
  <w:font w:name="黑体">
    <w:panose1 w:val="02010609060101010101"/>
  </w:font>
  <w:font w:name="方正小标宋简体">
    <w:panose1 w:val="02010601030101010101"/>
  </w:font>
  <w:font w:name="仿宋_GB2312">
    <w:panose1 w:val="02010609030101010101"/>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93"/>
                            <w:pBdr/>
                            <w:spacing/>
                            <w:ind/>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xml:space="preserve">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693"/>
                      <w:pBdr/>
                      <w:spacing/>
                      <w:ind/>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xml:space="preserve">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firstLine="640"/>
        <w:rPr/>
      </w:pPr>
      <w:r>
        <w:separator/>
      </w:r>
      <w:r/>
    </w:p>
  </w:footnote>
  <w:footnote w:type="continuationSeparator" w:id="0">
    <w:p>
      <w:pPr>
        <w:pBdr/>
        <w:spacing/>
        <w:ind w:firstLine="640"/>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9"/>
    <w:next w:val="689"/>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90"/>
    <w:link w:val="13"/>
    <w:uiPriority w:val="9"/>
    <w:pPr>
      <w:pBdr/>
      <w:spacing/>
      <w:ind/>
    </w:pPr>
    <w:rPr>
      <w:rFonts w:ascii="等线" w:hAnsi="等线" w:eastAsia="等线" w:cs="等线"/>
      <w:sz w:val="40"/>
      <w:szCs w:val="40"/>
    </w:rPr>
  </w:style>
  <w:style w:type="paragraph" w:styleId="15">
    <w:name w:val="Heading 2"/>
    <w:basedOn w:val="689"/>
    <w:next w:val="689"/>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90"/>
    <w:link w:val="15"/>
    <w:uiPriority w:val="9"/>
    <w:pPr>
      <w:pBdr/>
      <w:spacing/>
      <w:ind/>
    </w:pPr>
    <w:rPr>
      <w:rFonts w:ascii="等线" w:hAnsi="等线" w:eastAsia="等线" w:cs="等线"/>
      <w:sz w:val="34"/>
    </w:rPr>
  </w:style>
  <w:style w:type="paragraph" w:styleId="17">
    <w:name w:val="Heading 3"/>
    <w:basedOn w:val="689"/>
    <w:next w:val="689"/>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90"/>
    <w:link w:val="17"/>
    <w:uiPriority w:val="9"/>
    <w:pPr>
      <w:pBdr/>
      <w:spacing/>
      <w:ind/>
    </w:pPr>
    <w:rPr>
      <w:rFonts w:ascii="等线" w:hAnsi="等线" w:eastAsia="等线" w:cs="等线"/>
      <w:sz w:val="30"/>
      <w:szCs w:val="30"/>
    </w:rPr>
  </w:style>
  <w:style w:type="paragraph" w:styleId="19">
    <w:name w:val="Heading 4"/>
    <w:basedOn w:val="689"/>
    <w:next w:val="689"/>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90"/>
    <w:link w:val="19"/>
    <w:uiPriority w:val="9"/>
    <w:pPr>
      <w:pBdr/>
      <w:spacing/>
      <w:ind/>
    </w:pPr>
    <w:rPr>
      <w:rFonts w:ascii="等线" w:hAnsi="等线" w:eastAsia="等线" w:cs="等线"/>
      <w:b/>
      <w:bCs/>
      <w:sz w:val="26"/>
      <w:szCs w:val="26"/>
    </w:rPr>
  </w:style>
  <w:style w:type="paragraph" w:styleId="21">
    <w:name w:val="Heading 5"/>
    <w:basedOn w:val="689"/>
    <w:next w:val="689"/>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90"/>
    <w:link w:val="21"/>
    <w:uiPriority w:val="9"/>
    <w:pPr>
      <w:pBdr/>
      <w:spacing/>
      <w:ind/>
    </w:pPr>
    <w:rPr>
      <w:rFonts w:ascii="等线" w:hAnsi="等线" w:eastAsia="等线" w:cs="等线"/>
      <w:b/>
      <w:bCs/>
      <w:sz w:val="24"/>
      <w:szCs w:val="24"/>
    </w:rPr>
  </w:style>
  <w:style w:type="paragraph" w:styleId="23">
    <w:name w:val="Heading 6"/>
    <w:basedOn w:val="689"/>
    <w:next w:val="68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90"/>
    <w:link w:val="23"/>
    <w:uiPriority w:val="9"/>
    <w:pPr>
      <w:pBdr/>
      <w:spacing/>
      <w:ind/>
    </w:pPr>
    <w:rPr>
      <w:rFonts w:ascii="等线" w:hAnsi="等线" w:eastAsia="等线" w:cs="等线"/>
      <w:b/>
      <w:bCs/>
      <w:sz w:val="22"/>
      <w:szCs w:val="22"/>
    </w:rPr>
  </w:style>
  <w:style w:type="paragraph" w:styleId="25">
    <w:name w:val="Heading 7"/>
    <w:basedOn w:val="689"/>
    <w:next w:val="68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90"/>
    <w:link w:val="25"/>
    <w:uiPriority w:val="9"/>
    <w:pPr>
      <w:pBdr/>
      <w:spacing/>
      <w:ind/>
    </w:pPr>
    <w:rPr>
      <w:rFonts w:ascii="等线" w:hAnsi="等线" w:eastAsia="等线" w:cs="等线"/>
      <w:b/>
      <w:bCs/>
      <w:i/>
      <w:iCs/>
      <w:sz w:val="22"/>
      <w:szCs w:val="22"/>
    </w:rPr>
  </w:style>
  <w:style w:type="paragraph" w:styleId="27">
    <w:name w:val="Heading 8"/>
    <w:basedOn w:val="689"/>
    <w:next w:val="68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90"/>
    <w:link w:val="27"/>
    <w:uiPriority w:val="9"/>
    <w:pPr>
      <w:pBdr/>
      <w:spacing/>
      <w:ind/>
    </w:pPr>
    <w:rPr>
      <w:rFonts w:ascii="等线" w:hAnsi="等线" w:eastAsia="等线" w:cs="等线"/>
      <w:i/>
      <w:iCs/>
      <w:sz w:val="22"/>
      <w:szCs w:val="22"/>
    </w:rPr>
  </w:style>
  <w:style w:type="paragraph" w:styleId="29">
    <w:name w:val="Heading 9"/>
    <w:basedOn w:val="689"/>
    <w:next w:val="68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90"/>
    <w:link w:val="29"/>
    <w:uiPriority w:val="9"/>
    <w:pPr>
      <w:pBdr/>
      <w:spacing/>
      <w:ind/>
    </w:pPr>
    <w:rPr>
      <w:rFonts w:ascii="等线" w:hAnsi="等线" w:eastAsia="等线" w:cs="等线"/>
      <w:i/>
      <w:iCs/>
      <w:sz w:val="21"/>
      <w:szCs w:val="21"/>
    </w:rPr>
  </w:style>
  <w:style w:type="paragraph" w:styleId="31">
    <w:name w:val="List Paragraph"/>
    <w:basedOn w:val="68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89"/>
    <w:next w:val="689"/>
    <w:link w:val="35"/>
    <w:uiPriority w:val="10"/>
    <w:qFormat/>
    <w:pPr>
      <w:pBdr/>
      <w:spacing w:after="200" w:before="300"/>
      <w:ind/>
      <w:contextualSpacing w:val="true"/>
    </w:pPr>
    <w:rPr>
      <w:sz w:val="48"/>
      <w:szCs w:val="48"/>
    </w:rPr>
  </w:style>
  <w:style w:type="character" w:styleId="35">
    <w:name w:val="Title Char"/>
    <w:basedOn w:val="690"/>
    <w:link w:val="34"/>
    <w:uiPriority w:val="10"/>
    <w:pPr>
      <w:pBdr/>
      <w:spacing/>
      <w:ind/>
    </w:pPr>
    <w:rPr>
      <w:sz w:val="48"/>
      <w:szCs w:val="48"/>
    </w:rPr>
  </w:style>
  <w:style w:type="paragraph" w:styleId="36">
    <w:name w:val="Subtitle"/>
    <w:basedOn w:val="689"/>
    <w:next w:val="689"/>
    <w:link w:val="37"/>
    <w:uiPriority w:val="11"/>
    <w:qFormat/>
    <w:pPr>
      <w:pBdr/>
      <w:spacing w:after="200" w:before="200"/>
      <w:ind/>
    </w:pPr>
    <w:rPr>
      <w:sz w:val="24"/>
      <w:szCs w:val="24"/>
    </w:rPr>
  </w:style>
  <w:style w:type="character" w:styleId="37">
    <w:name w:val="Subtitle Char"/>
    <w:basedOn w:val="690"/>
    <w:link w:val="36"/>
    <w:uiPriority w:val="11"/>
    <w:pPr>
      <w:pBdr/>
      <w:spacing/>
      <w:ind/>
    </w:pPr>
    <w:rPr>
      <w:sz w:val="24"/>
      <w:szCs w:val="24"/>
    </w:rPr>
  </w:style>
  <w:style w:type="paragraph" w:styleId="38">
    <w:name w:val="Quote"/>
    <w:basedOn w:val="689"/>
    <w:next w:val="68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9"/>
    <w:next w:val="68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90"/>
    <w:link w:val="694"/>
    <w:uiPriority w:val="99"/>
    <w:pPr>
      <w:pBdr/>
      <w:spacing/>
      <w:ind/>
    </w:pPr>
  </w:style>
  <w:style w:type="character" w:styleId="45">
    <w:name w:val="Footer Char"/>
    <w:basedOn w:val="690"/>
    <w:link w:val="693"/>
    <w:uiPriority w:val="99"/>
    <w:pPr>
      <w:pBdr/>
      <w:spacing/>
      <w:ind/>
    </w:pPr>
  </w:style>
  <w:style w:type="paragraph" w:styleId="46">
    <w:name w:val="Caption"/>
    <w:basedOn w:val="689"/>
    <w:next w:val="689"/>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3"/>
    <w:uiPriority w:val="99"/>
    <w:pPr>
      <w:pBdr/>
      <w:spacing/>
      <w:ind/>
    </w:pPr>
  </w:style>
  <w:style w:type="table" w:styleId="48">
    <w:name w:val="Table Grid"/>
    <w:basedOn w:val="69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9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9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9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9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9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0"/>
    <w:uiPriority w:val="99"/>
    <w:unhideWhenUsed/>
    <w:pPr>
      <w:pBdr/>
      <w:spacing/>
      <w:ind/>
    </w:pPr>
    <w:rPr>
      <w:vertAlign w:val="superscript"/>
    </w:rPr>
  </w:style>
  <w:style w:type="paragraph" w:styleId="178">
    <w:name w:val="endnote text"/>
    <w:basedOn w:val="68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0"/>
    <w:uiPriority w:val="99"/>
    <w:semiHidden/>
    <w:unhideWhenUsed/>
    <w:pPr>
      <w:pBdr/>
      <w:spacing/>
      <w:ind/>
    </w:pPr>
    <w:rPr>
      <w:vertAlign w:val="superscript"/>
    </w:rPr>
  </w:style>
  <w:style w:type="paragraph" w:styleId="181">
    <w:name w:val="toc 1"/>
    <w:basedOn w:val="689"/>
    <w:next w:val="689"/>
    <w:uiPriority w:val="39"/>
    <w:unhideWhenUsed/>
    <w:pPr>
      <w:pBdr/>
      <w:spacing w:after="57"/>
      <w:ind w:right="0" w:firstLine="0" w:left="0"/>
    </w:pPr>
  </w:style>
  <w:style w:type="paragraph" w:styleId="182">
    <w:name w:val="toc 2"/>
    <w:basedOn w:val="689"/>
    <w:next w:val="689"/>
    <w:uiPriority w:val="39"/>
    <w:unhideWhenUsed/>
    <w:pPr>
      <w:pBdr/>
      <w:spacing w:after="57"/>
      <w:ind w:right="0" w:firstLine="0" w:left="283"/>
    </w:pPr>
  </w:style>
  <w:style w:type="paragraph" w:styleId="183">
    <w:name w:val="toc 3"/>
    <w:basedOn w:val="689"/>
    <w:next w:val="689"/>
    <w:uiPriority w:val="39"/>
    <w:unhideWhenUsed/>
    <w:pPr>
      <w:pBdr/>
      <w:spacing w:after="57"/>
      <w:ind w:right="0" w:firstLine="0" w:left="567"/>
    </w:pPr>
  </w:style>
  <w:style w:type="paragraph" w:styleId="184">
    <w:name w:val="toc 4"/>
    <w:basedOn w:val="689"/>
    <w:next w:val="689"/>
    <w:uiPriority w:val="39"/>
    <w:unhideWhenUsed/>
    <w:pPr>
      <w:pBdr/>
      <w:spacing w:after="57"/>
      <w:ind w:right="0" w:firstLine="0" w:left="850"/>
    </w:pPr>
  </w:style>
  <w:style w:type="paragraph" w:styleId="185">
    <w:name w:val="toc 5"/>
    <w:basedOn w:val="689"/>
    <w:next w:val="689"/>
    <w:uiPriority w:val="39"/>
    <w:unhideWhenUsed/>
    <w:pPr>
      <w:pBdr/>
      <w:spacing w:after="57"/>
      <w:ind w:right="0" w:firstLine="0" w:left="1134"/>
    </w:pPr>
  </w:style>
  <w:style w:type="paragraph" w:styleId="186">
    <w:name w:val="toc 6"/>
    <w:basedOn w:val="689"/>
    <w:next w:val="689"/>
    <w:uiPriority w:val="39"/>
    <w:unhideWhenUsed/>
    <w:pPr>
      <w:pBdr/>
      <w:spacing w:after="57"/>
      <w:ind w:right="0" w:firstLine="0" w:left="1417"/>
    </w:pPr>
  </w:style>
  <w:style w:type="paragraph" w:styleId="187">
    <w:name w:val="toc 7"/>
    <w:basedOn w:val="689"/>
    <w:next w:val="689"/>
    <w:uiPriority w:val="39"/>
    <w:unhideWhenUsed/>
    <w:pPr>
      <w:pBdr/>
      <w:spacing w:after="57"/>
      <w:ind w:right="0" w:firstLine="0" w:left="1701"/>
    </w:pPr>
  </w:style>
  <w:style w:type="paragraph" w:styleId="188">
    <w:name w:val="toc 8"/>
    <w:basedOn w:val="689"/>
    <w:next w:val="689"/>
    <w:uiPriority w:val="39"/>
    <w:unhideWhenUsed/>
    <w:pPr>
      <w:pBdr/>
      <w:spacing w:after="57"/>
      <w:ind w:right="0" w:firstLine="0" w:left="1984"/>
    </w:pPr>
  </w:style>
  <w:style w:type="paragraph" w:styleId="189">
    <w:name w:val="toc 9"/>
    <w:basedOn w:val="689"/>
    <w:next w:val="68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9"/>
    <w:next w:val="689"/>
    <w:uiPriority w:val="99"/>
    <w:unhideWhenUsed/>
    <w:pPr>
      <w:pBdr/>
      <w:spacing w:after="0" w:afterAutospacing="0"/>
      <w:ind/>
    </w:pPr>
  </w:style>
  <w:style w:type="paragraph" w:styleId="689" w:default="1">
    <w:name w:val="Normal"/>
    <w:next w:val="692"/>
    <w:uiPriority w:val="0"/>
    <w:qFormat/>
    <w:pPr>
      <w:widowControl w:val="false"/>
      <w:pBdr/>
      <w:spacing/>
      <w:ind w:firstLine="640"/>
      <w:jc w:val="both"/>
    </w:pPr>
    <w:rPr>
      <w:rFonts w:ascii="Calibri" w:hAnsi="Calibri" w:eastAsia="仿宋_GB2312" w:cs="Times New Roman"/>
      <w:sz w:val="32"/>
      <w:szCs w:val="24"/>
      <w:lang w:val="en-US" w:eastAsia="zh-CN" w:bidi="ar-SA"/>
    </w:rPr>
  </w:style>
  <w:style w:type="character" w:styleId="690" w:default="1">
    <w:name w:val="Default Paragraph Font"/>
    <w:uiPriority w:val="0"/>
    <w:semiHidden/>
    <w:qFormat/>
    <w:pPr>
      <w:pBdr/>
      <w:spacing/>
      <w:ind/>
    </w:pPr>
  </w:style>
  <w:style w:type="table" w:styleId="691"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2">
    <w:name w:val="Body Text Indent 2"/>
    <w:basedOn w:val="689"/>
    <w:uiPriority w:val="0"/>
    <w:qFormat/>
    <w:pPr>
      <w:pBdr/>
      <w:spacing w:after="120" w:line="480" w:lineRule="auto"/>
      <w:ind w:left="420"/>
    </w:pPr>
  </w:style>
  <w:style w:type="paragraph" w:styleId="693">
    <w:name w:val="Footer"/>
    <w:basedOn w:val="689"/>
    <w:uiPriority w:val="0"/>
    <w:qFormat/>
    <w:pPr>
      <w:pBdr/>
      <w:tabs>
        <w:tab w:val="center" w:leader="none" w:pos="4153"/>
        <w:tab w:val="right" w:leader="none" w:pos="8306"/>
      </w:tabs>
      <w:spacing/>
      <w:ind/>
      <w:jc w:val="left"/>
    </w:pPr>
    <w:rPr>
      <w:sz w:val="18"/>
    </w:rPr>
  </w:style>
  <w:style w:type="paragraph" w:styleId="694">
    <w:name w:val="Header"/>
    <w:basedOn w:val="689"/>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numbering" w:styleId="1153"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cp:revision>
  <dcterms:created xsi:type="dcterms:W3CDTF">2025-08-19T09:09:00Z</dcterms:created>
  <dcterms:modified xsi:type="dcterms:W3CDTF">2025-11-25T06:41:30Z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B1F03A3353AC498D98BC506677A02C12_13</vt:lpwstr>
  </property>
  <property fmtid="{D5CDD505-2E9C-101B-9397-08002B2CF9AE}" pid="4" name="KSOTemplateDocerSaveRecord">
    <vt:lpwstr>eyJoZGlkIjoiZGJmMWFlYjNjNGVlNmIxYTIzN2FkN2U2YTlhZTIxZmQiLCJ1c2VySWQiOiIzNzIyMDU4ODYifQ==</vt:lpwstr>
  </property>
</Properties>
</file>