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default" w:ascii="Times New Roman" w:hAnsi="Times New Roman" w:eastAsia="仿宋" w:cs="Times New Roman"/>
          <w:b/>
          <w:bCs/>
          <w:color w:val="000000"/>
          <w:sz w:val="44"/>
          <w:szCs w:val="44"/>
          <w:lang w:eastAsia="zh-CN"/>
        </w:rPr>
      </w:pPr>
      <w:r>
        <w:rPr>
          <w:rFonts w:hint="default" w:ascii="Times New Roman" w:hAnsi="Times New Roman" w:eastAsia="仿宋" w:cs="Times New Roman"/>
          <w:b/>
          <w:bCs/>
          <w:color w:val="000000"/>
          <w:sz w:val="44"/>
          <w:szCs w:val="44"/>
          <w:lang w:eastAsia="zh-CN"/>
        </w:rPr>
        <w:t>江西省木制家具产品质量省级监督抽查实施细则（202</w:t>
      </w:r>
      <w:r>
        <w:rPr>
          <w:rFonts w:hint="default" w:ascii="Times New Roman" w:hAnsi="Times New Roman" w:eastAsia="仿宋" w:cs="Times New Roman"/>
          <w:b/>
          <w:bCs/>
          <w:color w:val="000000"/>
          <w:sz w:val="44"/>
          <w:szCs w:val="44"/>
          <w:lang w:val="en-US" w:eastAsia="zh-CN"/>
        </w:rPr>
        <w:t>5</w:t>
      </w:r>
      <w:r>
        <w:rPr>
          <w:rFonts w:hint="default" w:ascii="Times New Roman" w:hAnsi="Times New Roman" w:eastAsia="仿宋" w:cs="Times New Roman"/>
          <w:b/>
          <w:bCs/>
          <w:color w:val="000000"/>
          <w:sz w:val="44"/>
          <w:szCs w:val="44"/>
          <w:lang w:eastAsia="zh-CN"/>
        </w:rPr>
        <w:t>年版）</w:t>
      </w:r>
    </w:p>
    <w:p>
      <w:pPr>
        <w:snapToGrid w:val="0"/>
        <w:spacing w:line="440" w:lineRule="exact"/>
        <w:jc w:val="center"/>
        <w:rPr>
          <w:rFonts w:hint="default" w:ascii="Times New Roman" w:hAnsi="Times New Roman" w:eastAsia="方正小标宋简体" w:cs="Times New Roman"/>
          <w:sz w:val="32"/>
          <w:szCs w:val="32"/>
        </w:rPr>
      </w:pP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1 抽样方法</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以随机抽样的方式在被抽样生产者、销售者的待销产品中抽取。</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随机数一般可使用随机数表等方法产生。</w:t>
      </w:r>
    </w:p>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每批次产品抽取样品2件，其中1件作为检验样品，1件作为备用样品。</w:t>
      </w:r>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2 检验依据</w:t>
      </w:r>
    </w:p>
    <w:p>
      <w:pPr>
        <w:snapToGrid w:val="0"/>
        <w:spacing w:line="440" w:lineRule="exact"/>
        <w:ind w:firstLine="200"/>
        <w:jc w:val="center"/>
        <w:rPr>
          <w:rFonts w:hint="default" w:ascii="Times New Roman" w:hAnsi="Times New Roman" w:cs="Times New Roman"/>
          <w:szCs w:val="21"/>
        </w:rPr>
      </w:pPr>
      <w:r>
        <w:rPr>
          <w:rFonts w:hint="default" w:ascii="Times New Roman" w:hAnsi="Times New Roman" w:cs="Times New Roman"/>
          <w:szCs w:val="21"/>
        </w:rPr>
        <w:t>表1 木家具（GB/T 3324—2017、GB 18584—2024、GB 28008—2024）</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3"/>
        <w:gridCol w:w="2079"/>
        <w:gridCol w:w="2229"/>
        <w:gridCol w:w="2106"/>
        <w:gridCol w:w="21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blHeader/>
        </w:trPr>
        <w:tc>
          <w:tcPr>
            <w:tcW w:w="356" w:type="pct"/>
            <w:noWrap w:val="0"/>
            <w:vAlign w:val="center"/>
          </w:tcPr>
          <w:p>
            <w:pPr>
              <w:spacing w:line="300" w:lineRule="exact"/>
              <w:jc w:val="center"/>
              <w:textAlignment w:val="center"/>
              <w:rPr>
                <w:rFonts w:hint="default" w:ascii="Times New Roman" w:hAnsi="Times New Roman" w:cs="Times New Roman"/>
                <w:szCs w:val="21"/>
              </w:rPr>
            </w:pPr>
            <w:r>
              <w:rPr>
                <w:rFonts w:hint="default" w:ascii="Times New Roman" w:hAnsi="Times New Roman" w:cs="Times New Roman"/>
                <w:szCs w:val="21"/>
              </w:rPr>
              <w:t>序号</w:t>
            </w:r>
          </w:p>
        </w:tc>
        <w:tc>
          <w:tcPr>
            <w:tcW w:w="2348" w:type="pct"/>
            <w:gridSpan w:val="2"/>
            <w:noWrap w:val="0"/>
            <w:vAlign w:val="center"/>
          </w:tcPr>
          <w:p>
            <w:pPr>
              <w:spacing w:line="300" w:lineRule="exact"/>
              <w:jc w:val="center"/>
              <w:textAlignment w:val="center"/>
              <w:rPr>
                <w:rFonts w:hint="default" w:ascii="Times New Roman" w:hAnsi="Times New Roman" w:cs="Times New Roman"/>
                <w:szCs w:val="21"/>
              </w:rPr>
            </w:pPr>
            <w:r>
              <w:rPr>
                <w:rFonts w:hint="default" w:ascii="Times New Roman" w:hAnsi="Times New Roman" w:cs="Times New Roman"/>
                <w:szCs w:val="21"/>
              </w:rPr>
              <w:t>检验项目</w:t>
            </w:r>
          </w:p>
        </w:tc>
        <w:tc>
          <w:tcPr>
            <w:tcW w:w="1148" w:type="pct"/>
            <w:noWrap w:val="0"/>
            <w:vAlign w:val="center"/>
          </w:tcPr>
          <w:p>
            <w:pPr>
              <w:spacing w:line="300" w:lineRule="exact"/>
              <w:jc w:val="center"/>
              <w:textAlignment w:val="center"/>
              <w:rPr>
                <w:rFonts w:hint="default" w:ascii="Times New Roman" w:hAnsi="Times New Roman" w:cs="Times New Roman"/>
                <w:szCs w:val="21"/>
              </w:rPr>
            </w:pPr>
            <w:r>
              <w:rPr>
                <w:rFonts w:hint="default" w:ascii="Times New Roman" w:hAnsi="Times New Roman" w:cs="Times New Roman"/>
                <w:szCs w:val="21"/>
              </w:rPr>
              <w:t>检验依据</w:t>
            </w:r>
          </w:p>
        </w:tc>
        <w:tc>
          <w:tcPr>
            <w:tcW w:w="1148" w:type="pct"/>
            <w:noWrap w:val="0"/>
            <w:vAlign w:val="center"/>
          </w:tcPr>
          <w:p>
            <w:pPr>
              <w:spacing w:line="300" w:lineRule="exact"/>
              <w:jc w:val="center"/>
              <w:textAlignment w:val="center"/>
              <w:rPr>
                <w:rFonts w:hint="default" w:ascii="Times New Roman" w:hAnsi="Times New Roman" w:cs="Times New Roman"/>
                <w:szCs w:val="21"/>
              </w:rPr>
            </w:pPr>
            <w:r>
              <w:rPr>
                <w:rFonts w:hint="default" w:ascii="Times New Roman" w:hAnsi="Times New Roman" w:cs="Times New Roman"/>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1</w:t>
            </w:r>
          </w:p>
        </w:tc>
        <w:tc>
          <w:tcPr>
            <w:tcW w:w="2348" w:type="pct"/>
            <w:gridSpan w:val="2"/>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木工要求</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3324—2017</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 xml:space="preserve">GB/T 3324—2017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2</w:t>
            </w:r>
          </w:p>
        </w:tc>
        <w:tc>
          <w:tcPr>
            <w:tcW w:w="1133" w:type="pct"/>
            <w:vMerge w:val="restar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表面理化性能-漆膜</w:t>
            </w: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耐液性</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3324—2017</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 xml:space="preserve">GB/T 3324—2017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3</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耐湿热</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3324—2017</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 xml:space="preserve">GB/T 3324—2017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4</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耐干热</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3324—2017</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 xml:space="preserve">GB/T 3324—2017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5</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附着力</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3324—2017</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 xml:space="preserve">GB/T 3324—2017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6</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耐磨性</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3324—2017</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 xml:space="preserve">GB/T 3324—2017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7</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抗冲击</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3324—2017</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 xml:space="preserve">GB/T 3324—2017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8</w:t>
            </w:r>
          </w:p>
        </w:tc>
        <w:tc>
          <w:tcPr>
            <w:tcW w:w="1133" w:type="pct"/>
            <w:vMerge w:val="restar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表面理化性能-软、硬质覆面</w:t>
            </w: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耐冷热循环</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3324—2017</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 xml:space="preserve">GB/T 3324—2017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9</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耐干热</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3324—2017</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 xml:space="preserve">GB/T 3324—2017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10</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耐湿热</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3324—2017</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 xml:space="preserve">GB/T 3324—2017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11</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表面耐磨性</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3324—2017</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 xml:space="preserve">GB/T 3324—2017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12</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抗冲击</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3324—2017</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 xml:space="preserve">GB/T 3324—2017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13</w:t>
            </w:r>
          </w:p>
        </w:tc>
        <w:tc>
          <w:tcPr>
            <w:tcW w:w="1133" w:type="pct"/>
            <w:vMerge w:val="restar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力学性能-柜类强度</w:t>
            </w: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结构和底架强度试验</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3324—2017</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10357.5—2011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14</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推拉构件结构强度试验</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3324—2017</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10357.5—2011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15</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推拉构件强度试验</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3324—2017</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10357.5—2011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16</w:t>
            </w:r>
          </w:p>
        </w:tc>
        <w:tc>
          <w:tcPr>
            <w:tcW w:w="2348" w:type="pct"/>
            <w:gridSpan w:val="2"/>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力学性能-柜类稳定性</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3324—2017</w:t>
            </w:r>
          </w:p>
        </w:tc>
        <w:tc>
          <w:tcPr>
            <w:tcW w:w="2107" w:type="dxa"/>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17</w:t>
            </w:r>
          </w:p>
        </w:tc>
        <w:tc>
          <w:tcPr>
            <w:tcW w:w="1133" w:type="pct"/>
            <w:vMerge w:val="restar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力学性能-桌类强度</w:t>
            </w: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主桌面垂直静载荷试验</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3324—2017</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10357.1—2013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18</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水平静载荷试验</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3324—2017</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10357.1—2013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19</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桌面垂直冲击试验</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3324—2017</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10357.1—2013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20</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桌腿跌落试验</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3324—2017</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10357.1—2013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21</w:t>
            </w:r>
          </w:p>
        </w:tc>
        <w:tc>
          <w:tcPr>
            <w:tcW w:w="2348" w:type="pct"/>
            <w:gridSpan w:val="2"/>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力学性能-桌类稳定性</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3324—2017</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22</w:t>
            </w:r>
          </w:p>
        </w:tc>
        <w:tc>
          <w:tcPr>
            <w:tcW w:w="1133" w:type="pct"/>
            <w:vMerge w:val="restar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力学性能-椅凳类强度</w:t>
            </w: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座面和椅背静载荷试验</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3324—2017</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10357.3—2013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21</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椅腿前向静载荷试验</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3324—2017</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10357.3—2013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22</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椅腿侧向静载荷试验</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3324—2017</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10357.3—2013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23</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座面冲击试验</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3324—2017</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10357.3—2013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24</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跌落试验</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3324—2017</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10357.3—2013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25</w:t>
            </w:r>
          </w:p>
        </w:tc>
        <w:tc>
          <w:tcPr>
            <w:tcW w:w="2348" w:type="pct"/>
            <w:gridSpan w:val="2"/>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力学性能-椅凳类稳定性</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3324—2017</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26</w:t>
            </w:r>
          </w:p>
        </w:tc>
        <w:tc>
          <w:tcPr>
            <w:tcW w:w="1133" w:type="pct"/>
            <w:vMerge w:val="restar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力学性能-单层床强度</w:t>
            </w: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床铺面集中静载荷试验</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3324—2017</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10357.6—2013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27</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床长边静载荷试验</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3324—2017</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10357.6—2013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28</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床铺面冲击载荷试验</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3324—2017</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10357.6—2013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29</w:t>
            </w:r>
          </w:p>
        </w:tc>
        <w:tc>
          <w:tcPr>
            <w:tcW w:w="1133" w:type="pct"/>
            <w:vMerge w:val="restar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通用结构安全</w:t>
            </w: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基本结构安全</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 28008—2024</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 28008—2024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30</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剪切和挤压点</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 28008—2024</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 28008—2024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31</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孔及间隙</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 28008—2024</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 28008—2024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32</w:t>
            </w:r>
          </w:p>
        </w:tc>
        <w:tc>
          <w:tcPr>
            <w:tcW w:w="1133" w:type="pct"/>
            <w:vMerge w:val="restar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有害物质限量</w:t>
            </w:r>
          </w:p>
        </w:tc>
        <w:tc>
          <w:tcPr>
            <w:tcW w:w="1215" w:type="pct"/>
            <w:noWrap w:val="0"/>
            <w:vAlign w:val="center"/>
          </w:tcPr>
          <w:p>
            <w:pPr>
              <w:widowControl/>
              <w:spacing w:line="300" w:lineRule="exact"/>
              <w:jc w:val="center"/>
              <w:textAlignment w:val="center"/>
              <w:rPr>
                <w:rFonts w:hint="default" w:ascii="Times New Roman" w:hAnsi="Times New Roman" w:cs="Times New Roman"/>
                <w:szCs w:val="21"/>
              </w:rPr>
            </w:pPr>
            <w:r>
              <w:rPr>
                <w:rFonts w:hint="default" w:ascii="Times New Roman" w:hAnsi="Times New Roman" w:cs="Times New Roman"/>
                <w:kern w:val="0"/>
                <w:szCs w:val="21"/>
                <w:lang w:bidi="ar"/>
              </w:rPr>
              <w:t>甲醛</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 18584—2024</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 18584—2024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33</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widowControl/>
              <w:spacing w:line="300" w:lineRule="exact"/>
              <w:jc w:val="center"/>
              <w:textAlignment w:val="center"/>
              <w:rPr>
                <w:rFonts w:hint="default" w:ascii="Times New Roman" w:hAnsi="Times New Roman" w:cs="Times New Roman"/>
                <w:szCs w:val="21"/>
              </w:rPr>
            </w:pPr>
            <w:r>
              <w:rPr>
                <w:rFonts w:hint="default" w:ascii="Times New Roman" w:hAnsi="Times New Roman" w:cs="Times New Roman"/>
                <w:kern w:val="0"/>
                <w:szCs w:val="21"/>
                <w:lang w:bidi="ar"/>
              </w:rPr>
              <w:t>苯</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 18584—2024</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 18584—2024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34</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widowControl/>
              <w:spacing w:line="300" w:lineRule="exact"/>
              <w:jc w:val="center"/>
              <w:textAlignment w:val="center"/>
              <w:rPr>
                <w:rFonts w:hint="default" w:ascii="Times New Roman" w:hAnsi="Times New Roman" w:cs="Times New Roman"/>
                <w:szCs w:val="21"/>
              </w:rPr>
            </w:pPr>
            <w:r>
              <w:rPr>
                <w:rFonts w:hint="default" w:ascii="Times New Roman" w:hAnsi="Times New Roman" w:cs="Times New Roman"/>
                <w:kern w:val="0"/>
                <w:szCs w:val="21"/>
                <w:lang w:bidi="ar"/>
              </w:rPr>
              <w:t>甲苯</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 18584—2024</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 18584—2024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35</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widowControl/>
              <w:spacing w:line="300" w:lineRule="exact"/>
              <w:jc w:val="center"/>
              <w:textAlignment w:val="center"/>
              <w:rPr>
                <w:rFonts w:hint="default" w:ascii="Times New Roman" w:hAnsi="Times New Roman" w:cs="Times New Roman"/>
                <w:szCs w:val="21"/>
              </w:rPr>
            </w:pPr>
            <w:r>
              <w:rPr>
                <w:rFonts w:hint="default" w:ascii="Times New Roman" w:hAnsi="Times New Roman" w:cs="Times New Roman"/>
                <w:kern w:val="0"/>
                <w:szCs w:val="21"/>
                <w:lang w:bidi="ar"/>
              </w:rPr>
              <w:t>二甲苯（邻、间、对二甲苯之和）</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 18584—2024</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 18584—2024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36</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widowControl/>
              <w:spacing w:line="300" w:lineRule="exact"/>
              <w:jc w:val="center"/>
              <w:textAlignment w:val="center"/>
              <w:rPr>
                <w:rFonts w:hint="default" w:ascii="Times New Roman" w:hAnsi="Times New Roman" w:cs="Times New Roman"/>
                <w:szCs w:val="21"/>
              </w:rPr>
            </w:pPr>
            <w:r>
              <w:rPr>
                <w:rFonts w:hint="default" w:ascii="Times New Roman" w:hAnsi="Times New Roman" w:cs="Times New Roman"/>
                <w:kern w:val="0"/>
                <w:szCs w:val="21"/>
                <w:lang w:bidi="ar"/>
              </w:rPr>
              <w:t>总挥发性有机化合物（</w:t>
            </w:r>
            <w:r>
              <w:rPr>
                <w:rStyle w:val="37"/>
                <w:rFonts w:hint="default" w:ascii="Times New Roman" w:hAnsi="Times New Roman" w:cs="Times New Roman"/>
                <w:color w:val="auto"/>
                <w:sz w:val="21"/>
                <w:szCs w:val="21"/>
                <w:lang w:bidi="ar"/>
              </w:rPr>
              <w:t>TVOC</w:t>
            </w:r>
            <w:r>
              <w:rPr>
                <w:rFonts w:hint="default" w:ascii="Times New Roman" w:hAnsi="Times New Roman" w:cs="Times New Roman"/>
                <w:kern w:val="0"/>
                <w:szCs w:val="21"/>
                <w:lang w:bidi="ar"/>
              </w:rPr>
              <w:t>）</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 18584—2024</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 18584—2024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37</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widowControl/>
              <w:spacing w:line="300" w:lineRule="exact"/>
              <w:jc w:val="center"/>
              <w:textAlignment w:val="center"/>
              <w:rPr>
                <w:rFonts w:hint="default" w:ascii="Times New Roman" w:hAnsi="Times New Roman" w:cs="Times New Roman"/>
                <w:szCs w:val="21"/>
              </w:rPr>
            </w:pPr>
            <w:r>
              <w:rPr>
                <w:rFonts w:hint="default" w:ascii="Times New Roman" w:hAnsi="Times New Roman" w:cs="Times New Roman"/>
                <w:kern w:val="0"/>
                <w:szCs w:val="21"/>
                <w:lang w:bidi="ar"/>
              </w:rPr>
              <w:t>可迁移有害元素</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 18584—2024</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 6675.4—2014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5000" w:type="pct"/>
            <w:gridSpan w:val="5"/>
            <w:noWrap w:val="0"/>
            <w:vAlign w:val="center"/>
          </w:tcPr>
          <w:p>
            <w:pPr>
              <w:snapToGrid w:val="0"/>
              <w:spacing w:line="300" w:lineRule="exact"/>
              <w:jc w:val="left"/>
              <w:rPr>
                <w:rFonts w:hint="default" w:ascii="Times New Roman" w:hAnsi="Times New Roman" w:cs="Times New Roman"/>
                <w:szCs w:val="21"/>
              </w:rPr>
            </w:pPr>
            <w:r>
              <w:rPr>
                <w:rFonts w:hint="default" w:ascii="Times New Roman" w:hAnsi="Times New Roman" w:cs="Times New Roman"/>
                <w:szCs w:val="21"/>
              </w:rPr>
              <w:t>注：</w:t>
            </w:r>
            <w:r>
              <w:rPr>
                <w:rFonts w:hint="default" w:ascii="Times New Roman" w:hAnsi="Times New Roman" w:cs="Times New Roman"/>
                <w:szCs w:val="21"/>
                <w:lang w:val="en-US" w:eastAsia="zh-CN"/>
              </w:rPr>
              <w:t>1、</w:t>
            </w:r>
            <w:r>
              <w:rPr>
                <w:rFonts w:hint="default" w:ascii="Times New Roman" w:hAnsi="Times New Roman" w:cs="Times New Roman"/>
                <w:szCs w:val="21"/>
              </w:rPr>
              <w:t>木工要求的检验项目为GB/T 3324—2017中表3序号27、28、34。</w:t>
            </w:r>
          </w:p>
          <w:p>
            <w:pPr>
              <w:snapToGrid w:val="0"/>
              <w:spacing w:line="300" w:lineRule="exact"/>
              <w:jc w:val="left"/>
              <w:rPr>
                <w:rFonts w:hint="default" w:ascii="Times New Roman" w:hAnsi="Times New Roman" w:eastAsia="宋体" w:cs="Times New Roman"/>
                <w:szCs w:val="21"/>
                <w:lang w:val="en-US" w:eastAsia="zh-CN"/>
              </w:rPr>
            </w:pPr>
            <w:r>
              <w:rPr>
                <w:rFonts w:hint="default" w:ascii="Times New Roman" w:hAnsi="Times New Roman" w:cs="Times New Roman"/>
                <w:szCs w:val="21"/>
                <w:lang w:val="en-US" w:eastAsia="zh-CN"/>
              </w:rPr>
              <w:t xml:space="preserve">    2、适用于生产日期为2025年5月1日前。</w:t>
            </w:r>
          </w:p>
        </w:tc>
      </w:tr>
    </w:tbl>
    <w:p>
      <w:pPr>
        <w:adjustRightInd w:val="0"/>
        <w:snapToGrid w:val="0"/>
        <w:spacing w:line="440" w:lineRule="exact"/>
        <w:ind w:firstLine="420" w:firstLineChars="200"/>
        <w:rPr>
          <w:rFonts w:hint="default" w:ascii="Times New Roman" w:hAnsi="Times New Roman" w:cs="Times New Roman"/>
          <w:szCs w:val="21"/>
        </w:rPr>
      </w:pPr>
    </w:p>
    <w:p>
      <w:pPr>
        <w:snapToGrid w:val="0"/>
        <w:spacing w:line="440" w:lineRule="exact"/>
        <w:jc w:val="center"/>
        <w:rPr>
          <w:rFonts w:hint="default" w:ascii="Times New Roman" w:hAnsi="Times New Roman" w:cs="Times New Roman"/>
          <w:szCs w:val="21"/>
        </w:rPr>
      </w:pPr>
    </w:p>
    <w:p>
      <w:pPr>
        <w:snapToGrid w:val="0"/>
        <w:spacing w:line="440" w:lineRule="exact"/>
        <w:jc w:val="center"/>
        <w:rPr>
          <w:rFonts w:hint="default" w:ascii="Times New Roman" w:hAnsi="Times New Roman" w:cs="Times New Roman"/>
          <w:szCs w:val="21"/>
        </w:rPr>
      </w:pPr>
    </w:p>
    <w:p>
      <w:pPr>
        <w:snapToGrid w:val="0"/>
        <w:spacing w:line="440" w:lineRule="exact"/>
        <w:ind w:firstLine="200"/>
        <w:jc w:val="center"/>
        <w:rPr>
          <w:rFonts w:hint="default" w:ascii="Times New Roman" w:hAnsi="Times New Roman" w:cs="Times New Roman"/>
          <w:szCs w:val="21"/>
        </w:rPr>
      </w:pPr>
    </w:p>
    <w:p>
      <w:pPr>
        <w:snapToGrid w:val="0"/>
        <w:spacing w:line="440" w:lineRule="exact"/>
        <w:ind w:firstLine="200"/>
        <w:jc w:val="center"/>
        <w:rPr>
          <w:rFonts w:hint="default" w:ascii="Times New Roman" w:hAnsi="Times New Roman" w:cs="Times New Roman"/>
          <w:szCs w:val="21"/>
        </w:rPr>
      </w:pPr>
      <w:r>
        <w:rPr>
          <w:rFonts w:hint="default" w:ascii="Times New Roman" w:hAnsi="Times New Roman" w:cs="Times New Roman"/>
          <w:szCs w:val="21"/>
        </w:rPr>
        <w:t>表2 木家具（GB/T 3324—2024、GB 18584—2024、GB 28008—2024）</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3"/>
        <w:gridCol w:w="2079"/>
        <w:gridCol w:w="2229"/>
        <w:gridCol w:w="2106"/>
        <w:gridCol w:w="21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tblHeader/>
        </w:trPr>
        <w:tc>
          <w:tcPr>
            <w:tcW w:w="356" w:type="pct"/>
            <w:noWrap w:val="0"/>
            <w:vAlign w:val="center"/>
          </w:tcPr>
          <w:p>
            <w:pPr>
              <w:spacing w:line="300" w:lineRule="exact"/>
              <w:jc w:val="center"/>
              <w:textAlignment w:val="center"/>
              <w:rPr>
                <w:rFonts w:hint="default" w:ascii="Times New Roman" w:hAnsi="Times New Roman" w:cs="Times New Roman"/>
                <w:szCs w:val="21"/>
              </w:rPr>
            </w:pPr>
            <w:r>
              <w:rPr>
                <w:rFonts w:hint="default" w:ascii="Times New Roman" w:hAnsi="Times New Roman" w:cs="Times New Roman"/>
                <w:szCs w:val="21"/>
              </w:rPr>
              <w:t>序号</w:t>
            </w:r>
          </w:p>
        </w:tc>
        <w:tc>
          <w:tcPr>
            <w:tcW w:w="2348" w:type="pct"/>
            <w:gridSpan w:val="2"/>
            <w:noWrap w:val="0"/>
            <w:vAlign w:val="center"/>
          </w:tcPr>
          <w:p>
            <w:pPr>
              <w:spacing w:line="300" w:lineRule="exact"/>
              <w:jc w:val="center"/>
              <w:textAlignment w:val="center"/>
              <w:rPr>
                <w:rFonts w:hint="default" w:ascii="Times New Roman" w:hAnsi="Times New Roman" w:cs="Times New Roman"/>
                <w:szCs w:val="21"/>
              </w:rPr>
            </w:pPr>
            <w:r>
              <w:rPr>
                <w:rFonts w:hint="default" w:ascii="Times New Roman" w:hAnsi="Times New Roman" w:cs="Times New Roman"/>
                <w:szCs w:val="21"/>
              </w:rPr>
              <w:t>检验项目</w:t>
            </w:r>
          </w:p>
        </w:tc>
        <w:tc>
          <w:tcPr>
            <w:tcW w:w="1148" w:type="pct"/>
            <w:noWrap w:val="0"/>
            <w:vAlign w:val="top"/>
          </w:tcPr>
          <w:p>
            <w:pPr>
              <w:spacing w:line="300" w:lineRule="exact"/>
              <w:jc w:val="center"/>
              <w:textAlignment w:val="center"/>
              <w:rPr>
                <w:rFonts w:hint="default" w:ascii="Times New Roman" w:hAnsi="Times New Roman" w:cs="Times New Roman"/>
                <w:szCs w:val="21"/>
              </w:rPr>
            </w:pPr>
            <w:r>
              <w:rPr>
                <w:rFonts w:hint="default" w:ascii="Times New Roman" w:hAnsi="Times New Roman" w:cs="Times New Roman"/>
                <w:szCs w:val="21"/>
              </w:rPr>
              <w:t>检验依据</w:t>
            </w:r>
          </w:p>
        </w:tc>
        <w:tc>
          <w:tcPr>
            <w:tcW w:w="1148" w:type="pct"/>
            <w:noWrap w:val="0"/>
            <w:vAlign w:val="center"/>
          </w:tcPr>
          <w:p>
            <w:pPr>
              <w:spacing w:line="300" w:lineRule="exact"/>
              <w:jc w:val="center"/>
              <w:textAlignment w:val="center"/>
              <w:rPr>
                <w:rFonts w:hint="default" w:ascii="Times New Roman" w:hAnsi="Times New Roman" w:cs="Times New Roman"/>
                <w:szCs w:val="21"/>
              </w:rPr>
            </w:pPr>
            <w:r>
              <w:rPr>
                <w:rFonts w:hint="default" w:ascii="Times New Roman" w:hAnsi="Times New Roman" w:cs="Times New Roman"/>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1</w:t>
            </w:r>
          </w:p>
        </w:tc>
        <w:tc>
          <w:tcPr>
            <w:tcW w:w="2348" w:type="pct"/>
            <w:gridSpan w:val="2"/>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木工要求</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3324—2024</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2</w:t>
            </w:r>
          </w:p>
        </w:tc>
        <w:tc>
          <w:tcPr>
            <w:tcW w:w="1133" w:type="pct"/>
            <w:vMerge w:val="restar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表面理化性能-漆膜</w:t>
            </w: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耐液性</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3324—2024</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3</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耐湿热</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3324—2024</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4</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耐干热</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3324—2024</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5</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附着力</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3324—2024</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6</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耐磨性</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3324—2024</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7</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抗冲击</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3324—2024</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8</w:t>
            </w:r>
          </w:p>
        </w:tc>
        <w:tc>
          <w:tcPr>
            <w:tcW w:w="1133" w:type="pct"/>
            <w:vMerge w:val="restar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表面理化性能-软、硬质覆面</w:t>
            </w: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耐冷热循环</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3324—2024</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9</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耐干热</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3324—2024</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10</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耐湿热</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3324—2024</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11</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耐磨性</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3324—2024</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12</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抗冲击</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3324—2024</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13</w:t>
            </w:r>
          </w:p>
        </w:tc>
        <w:tc>
          <w:tcPr>
            <w:tcW w:w="1133" w:type="pct"/>
            <w:vMerge w:val="restar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力学性能-柜类强度</w:t>
            </w: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结构、底架和/或腿强度试验</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3324—2024</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10357.5—2023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14</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推拉构件底板强度试验</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3324—2024</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10357.5—2023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15</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推拉构件强度试验</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3324—2024</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10357.5—2023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16</w:t>
            </w:r>
          </w:p>
        </w:tc>
        <w:tc>
          <w:tcPr>
            <w:tcW w:w="2348" w:type="pct"/>
            <w:gridSpan w:val="2"/>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力学性能-柜类稳定性</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3324—2024</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10357.4—2023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17</w:t>
            </w:r>
          </w:p>
        </w:tc>
        <w:tc>
          <w:tcPr>
            <w:tcW w:w="1133" w:type="pct"/>
            <w:vMerge w:val="restar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力学性能-桌类强度</w:t>
            </w: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主桌面垂直静载荷试验</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3324—2024</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10357.1—2024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18</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水平静载荷试验</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3324—2024</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10357.1—2024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19</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垂直冲击试验</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3324—2024</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10357.1—2024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20</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跌落试验</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3324—2024</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10357.1—2024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21</w:t>
            </w:r>
          </w:p>
        </w:tc>
        <w:tc>
          <w:tcPr>
            <w:tcW w:w="2348" w:type="pct"/>
            <w:gridSpan w:val="2"/>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力学性能-桌类稳定性</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3324—2024</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10357.7—2013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22</w:t>
            </w:r>
          </w:p>
        </w:tc>
        <w:tc>
          <w:tcPr>
            <w:tcW w:w="1133" w:type="pct"/>
            <w:vMerge w:val="restar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力学性能-椅凳类强度</w:t>
            </w: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座面和椅背静载荷试验</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3324—2024</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10357.3—2013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21</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椅腿前向静载荷试验</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3324—2024</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10357.3—2013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22</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椅腿侧向静载荷试验</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3324—2024</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10357.3—2013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23</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座面冲击试验</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3324—2024</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10357.3—2013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24</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跌落试验</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3324—2024</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10357.3—2013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25</w:t>
            </w:r>
          </w:p>
        </w:tc>
        <w:tc>
          <w:tcPr>
            <w:tcW w:w="2348" w:type="pct"/>
            <w:gridSpan w:val="2"/>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力学性能-椅凳类稳定性</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3324—2024</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10357.2—2013</w:t>
            </w:r>
          </w:p>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10357.8—2015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26</w:t>
            </w:r>
          </w:p>
        </w:tc>
        <w:tc>
          <w:tcPr>
            <w:tcW w:w="1133" w:type="pct"/>
            <w:vMerge w:val="restar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力学性能-单层床强度</w:t>
            </w: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床铺面垂直静载荷</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3324—2024</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41650—2022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27</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床侧边垂直静载荷</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3324—2024</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41650—2022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28</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垂直冲击测试</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3324—2024</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GB/T 41650—2022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29</w:t>
            </w:r>
          </w:p>
        </w:tc>
        <w:tc>
          <w:tcPr>
            <w:tcW w:w="1133" w:type="pct"/>
            <w:vMerge w:val="restar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通用结构安全</w:t>
            </w: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基本结构安全</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 28008—2024</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 28008—2024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30</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剪切和挤压点</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 28008—2024</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 28008—2024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31</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孔及间隙</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 28008—2024</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 28008—2024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32</w:t>
            </w:r>
          </w:p>
        </w:tc>
        <w:tc>
          <w:tcPr>
            <w:tcW w:w="1133" w:type="pct"/>
            <w:vMerge w:val="restar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有害物质限量</w:t>
            </w:r>
          </w:p>
        </w:tc>
        <w:tc>
          <w:tcPr>
            <w:tcW w:w="1215" w:type="pct"/>
            <w:noWrap w:val="0"/>
            <w:vAlign w:val="center"/>
          </w:tcPr>
          <w:p>
            <w:pPr>
              <w:widowControl/>
              <w:spacing w:line="300" w:lineRule="exact"/>
              <w:jc w:val="center"/>
              <w:textAlignment w:val="center"/>
              <w:rPr>
                <w:rFonts w:hint="default" w:ascii="Times New Roman" w:hAnsi="Times New Roman" w:cs="Times New Roman"/>
                <w:szCs w:val="21"/>
              </w:rPr>
            </w:pPr>
            <w:r>
              <w:rPr>
                <w:rFonts w:hint="default" w:ascii="Times New Roman" w:hAnsi="Times New Roman" w:cs="Times New Roman"/>
                <w:kern w:val="0"/>
                <w:szCs w:val="21"/>
                <w:lang w:bidi="ar"/>
              </w:rPr>
              <w:t>甲醛</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 18584—2024</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 18584—2024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33</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widowControl/>
              <w:spacing w:line="300" w:lineRule="exact"/>
              <w:jc w:val="center"/>
              <w:textAlignment w:val="center"/>
              <w:rPr>
                <w:rFonts w:hint="default" w:ascii="Times New Roman" w:hAnsi="Times New Roman" w:cs="Times New Roman"/>
                <w:szCs w:val="21"/>
              </w:rPr>
            </w:pPr>
            <w:r>
              <w:rPr>
                <w:rFonts w:hint="default" w:ascii="Times New Roman" w:hAnsi="Times New Roman" w:cs="Times New Roman"/>
                <w:kern w:val="0"/>
                <w:szCs w:val="21"/>
                <w:lang w:bidi="ar"/>
              </w:rPr>
              <w:t>苯</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 18584—2024</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 18584—2024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34</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widowControl/>
              <w:spacing w:line="300" w:lineRule="exact"/>
              <w:jc w:val="center"/>
              <w:textAlignment w:val="center"/>
              <w:rPr>
                <w:rFonts w:hint="default" w:ascii="Times New Roman" w:hAnsi="Times New Roman" w:cs="Times New Roman"/>
                <w:szCs w:val="21"/>
              </w:rPr>
            </w:pPr>
            <w:r>
              <w:rPr>
                <w:rFonts w:hint="default" w:ascii="Times New Roman" w:hAnsi="Times New Roman" w:cs="Times New Roman"/>
                <w:kern w:val="0"/>
                <w:szCs w:val="21"/>
                <w:lang w:bidi="ar"/>
              </w:rPr>
              <w:t>甲苯</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 18584—2024</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 18584—2024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35</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widowControl/>
              <w:spacing w:line="300" w:lineRule="exact"/>
              <w:jc w:val="center"/>
              <w:textAlignment w:val="center"/>
              <w:rPr>
                <w:rFonts w:hint="default" w:ascii="Times New Roman" w:hAnsi="Times New Roman" w:cs="Times New Roman"/>
                <w:szCs w:val="21"/>
              </w:rPr>
            </w:pPr>
            <w:r>
              <w:rPr>
                <w:rFonts w:hint="default" w:ascii="Times New Roman" w:hAnsi="Times New Roman" w:cs="Times New Roman"/>
                <w:kern w:val="0"/>
                <w:szCs w:val="21"/>
                <w:lang w:bidi="ar"/>
              </w:rPr>
              <w:t>二甲苯（邻、间、对二甲苯之和）</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 18584—2024</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 18584—2024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36</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widowControl/>
              <w:spacing w:line="300" w:lineRule="exact"/>
              <w:jc w:val="center"/>
              <w:textAlignment w:val="center"/>
              <w:rPr>
                <w:rFonts w:hint="default" w:ascii="Times New Roman" w:hAnsi="Times New Roman" w:cs="Times New Roman"/>
                <w:szCs w:val="21"/>
              </w:rPr>
            </w:pPr>
            <w:r>
              <w:rPr>
                <w:rFonts w:hint="default" w:ascii="Times New Roman" w:hAnsi="Times New Roman" w:cs="Times New Roman"/>
                <w:kern w:val="0"/>
                <w:szCs w:val="21"/>
                <w:lang w:bidi="ar"/>
              </w:rPr>
              <w:t>总挥发性有机化合物（</w:t>
            </w:r>
            <w:r>
              <w:rPr>
                <w:rStyle w:val="37"/>
                <w:rFonts w:hint="default" w:ascii="Times New Roman" w:hAnsi="Times New Roman" w:cs="Times New Roman"/>
                <w:color w:val="auto"/>
                <w:sz w:val="21"/>
                <w:szCs w:val="21"/>
                <w:lang w:bidi="ar"/>
              </w:rPr>
              <w:t>TVOC</w:t>
            </w:r>
            <w:r>
              <w:rPr>
                <w:rFonts w:hint="default" w:ascii="Times New Roman" w:hAnsi="Times New Roman" w:cs="Times New Roman"/>
                <w:kern w:val="0"/>
                <w:szCs w:val="21"/>
                <w:lang w:bidi="ar"/>
              </w:rPr>
              <w:t>）</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 18584—2024</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 18584—2024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56"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37</w:t>
            </w:r>
          </w:p>
        </w:tc>
        <w:tc>
          <w:tcPr>
            <w:tcW w:w="1133" w:type="pct"/>
            <w:vMerge w:val="continue"/>
            <w:noWrap w:val="0"/>
            <w:vAlign w:val="center"/>
          </w:tcPr>
          <w:p>
            <w:pPr>
              <w:snapToGrid w:val="0"/>
              <w:spacing w:line="300" w:lineRule="exact"/>
              <w:jc w:val="center"/>
              <w:rPr>
                <w:rFonts w:hint="default" w:ascii="Times New Roman" w:hAnsi="Times New Roman" w:cs="Times New Roman"/>
                <w:szCs w:val="21"/>
              </w:rPr>
            </w:pPr>
          </w:p>
        </w:tc>
        <w:tc>
          <w:tcPr>
            <w:tcW w:w="1215" w:type="pct"/>
            <w:noWrap w:val="0"/>
            <w:vAlign w:val="center"/>
          </w:tcPr>
          <w:p>
            <w:pPr>
              <w:widowControl/>
              <w:spacing w:line="300" w:lineRule="exact"/>
              <w:jc w:val="center"/>
              <w:textAlignment w:val="center"/>
              <w:rPr>
                <w:rFonts w:hint="default" w:ascii="Times New Roman" w:hAnsi="Times New Roman" w:cs="Times New Roman"/>
                <w:szCs w:val="21"/>
              </w:rPr>
            </w:pPr>
            <w:r>
              <w:rPr>
                <w:rFonts w:hint="default" w:ascii="Times New Roman" w:hAnsi="Times New Roman" w:cs="Times New Roman"/>
                <w:kern w:val="0"/>
                <w:szCs w:val="21"/>
                <w:lang w:bidi="ar"/>
              </w:rPr>
              <w:t>可迁移有害元素</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 18584—2024</w:t>
            </w:r>
          </w:p>
        </w:tc>
        <w:tc>
          <w:tcPr>
            <w:tcW w:w="1148" w:type="pct"/>
            <w:noWrap w:val="0"/>
            <w:vAlign w:val="center"/>
          </w:tcPr>
          <w:p>
            <w:pPr>
              <w:snapToGrid w:val="0"/>
              <w:spacing w:line="300" w:lineRule="exact"/>
              <w:jc w:val="center"/>
              <w:rPr>
                <w:rFonts w:hint="default" w:ascii="Times New Roman" w:hAnsi="Times New Roman" w:cs="Times New Roman"/>
                <w:szCs w:val="21"/>
              </w:rPr>
            </w:pPr>
            <w:r>
              <w:rPr>
                <w:rFonts w:hint="default" w:ascii="Times New Roman" w:hAnsi="Times New Roman" w:cs="Times New Roman"/>
                <w:szCs w:val="21"/>
              </w:rPr>
              <w:t>GB 6675.4—2014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5000" w:type="pct"/>
            <w:gridSpan w:val="5"/>
            <w:noWrap w:val="0"/>
            <w:vAlign w:val="center"/>
          </w:tcPr>
          <w:p>
            <w:pPr>
              <w:snapToGrid w:val="0"/>
              <w:spacing w:line="300" w:lineRule="exact"/>
              <w:jc w:val="left"/>
              <w:rPr>
                <w:rFonts w:hint="default" w:ascii="Times New Roman" w:hAnsi="Times New Roman" w:cs="Times New Roman"/>
                <w:szCs w:val="21"/>
              </w:rPr>
            </w:pPr>
            <w:r>
              <w:rPr>
                <w:rFonts w:hint="default" w:ascii="Times New Roman" w:hAnsi="Times New Roman" w:cs="Times New Roman"/>
                <w:szCs w:val="21"/>
              </w:rPr>
              <w:t>注：</w:t>
            </w:r>
            <w:r>
              <w:rPr>
                <w:rFonts w:hint="default" w:ascii="Times New Roman" w:hAnsi="Times New Roman" w:cs="Times New Roman"/>
                <w:szCs w:val="21"/>
                <w:lang w:val="en-US" w:eastAsia="zh-CN"/>
              </w:rPr>
              <w:t>1、</w:t>
            </w:r>
            <w:r>
              <w:rPr>
                <w:rFonts w:hint="default" w:ascii="Times New Roman" w:hAnsi="Times New Roman" w:cs="Times New Roman"/>
                <w:szCs w:val="21"/>
              </w:rPr>
              <w:t>木工要求的检验项目为GB/T 3324—2024中表3序号35、36、42。</w:t>
            </w:r>
          </w:p>
          <w:p>
            <w:pPr>
              <w:snapToGrid w:val="0"/>
              <w:spacing w:line="300" w:lineRule="exact"/>
              <w:jc w:val="left"/>
              <w:rPr>
                <w:rFonts w:hint="default" w:ascii="Times New Roman" w:hAnsi="Times New Roman" w:eastAsia="宋体" w:cs="Times New Roman"/>
                <w:szCs w:val="21"/>
                <w:lang w:val="en-US" w:eastAsia="zh-CN"/>
              </w:rPr>
            </w:pPr>
            <w:r>
              <w:rPr>
                <w:rFonts w:hint="default" w:ascii="Times New Roman" w:hAnsi="Times New Roman" w:cs="Times New Roman"/>
                <w:szCs w:val="21"/>
                <w:lang w:val="en-US" w:eastAsia="zh-CN"/>
              </w:rPr>
              <w:t xml:space="preserve">    2、适用于生产日期为2025年5月1日后。</w:t>
            </w:r>
          </w:p>
        </w:tc>
      </w:tr>
    </w:tbl>
    <w:p>
      <w:pPr>
        <w:adjustRightInd w:val="0"/>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执行企业标准、团体标准、地方标准的产品，检验项目参照上述内容执行。</w:t>
      </w:r>
    </w:p>
    <w:p>
      <w:pPr>
        <w:snapToGrid w:val="0"/>
        <w:spacing w:line="440" w:lineRule="exact"/>
        <w:ind w:firstLine="420" w:firstLineChars="200"/>
        <w:rPr>
          <w:rFonts w:hint="default" w:ascii="Times New Roman" w:hAnsi="Times New Roman" w:cs="Times New Roman"/>
          <w:b/>
          <w:bCs/>
          <w:szCs w:val="21"/>
        </w:rPr>
      </w:pPr>
      <w:r>
        <w:rPr>
          <w:rFonts w:hint="default" w:ascii="Times New Roman" w:hAnsi="Times New Roman" w:cs="Times New Roman"/>
          <w:szCs w:val="21"/>
        </w:rPr>
        <w:t>凡是注日期的文件，其随后所有的修改单（不包括勘误的内容）或修订版不适用于本细则。凡是不注日期的文件，其最新版本适用于本细则。</w:t>
      </w:r>
      <w:bookmarkStart w:id="0" w:name="_GoBack"/>
      <w:bookmarkEnd w:id="0"/>
    </w:p>
    <w:p>
      <w:pPr>
        <w:spacing w:before="156" w:beforeLines="50" w:line="360" w:lineRule="auto"/>
        <w:rPr>
          <w:rFonts w:hint="default" w:ascii="Times New Roman" w:hAnsi="Times New Roman" w:eastAsia="仿宋" w:cs="Times New Roman"/>
          <w:b/>
          <w:sz w:val="24"/>
          <w:szCs w:val="24"/>
        </w:rPr>
      </w:pPr>
      <w:r>
        <w:rPr>
          <w:rFonts w:hint="default" w:ascii="Times New Roman" w:hAnsi="Times New Roman" w:eastAsia="仿宋" w:cs="Times New Roman"/>
          <w:b/>
          <w:sz w:val="24"/>
          <w:szCs w:val="24"/>
        </w:rPr>
        <w:t>3 判定规则</w:t>
      </w:r>
    </w:p>
    <w:p>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3.1依据标准</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GB/T 3324—2017 木家具通用技术条件</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GB/T 3324—2024 木家具通用技术条件</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 18584—2024 家具中有害物质限量</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 28008—2024 家具结构安全技术规范</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现行有效的企业标准、团体标准、地方标准及产品明示质量要求</w:t>
      </w:r>
    </w:p>
    <w:p>
      <w:pPr>
        <w:snapToGrid w:val="0"/>
        <w:spacing w:line="440" w:lineRule="exact"/>
        <w:rPr>
          <w:rFonts w:hint="default" w:ascii="Times New Roman" w:hAnsi="Times New Roman" w:eastAsia="仿宋" w:cs="Times New Roman"/>
          <w:b/>
          <w:bCs/>
          <w:color w:val="000000"/>
          <w:szCs w:val="21"/>
        </w:rPr>
      </w:pPr>
      <w:r>
        <w:rPr>
          <w:rFonts w:hint="default" w:ascii="Times New Roman" w:hAnsi="Times New Roman" w:eastAsia="仿宋" w:cs="Times New Roman"/>
          <w:b/>
          <w:bCs/>
          <w:color w:val="000000"/>
          <w:szCs w:val="21"/>
        </w:rPr>
        <w:t>3.2判定原则</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经检验，检验项目全部合格，判定为被抽查产品所检项目未发现不合格；检验项目中任一项或一项以上不合格，判定为被抽查产品不合格。</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若被检产品明示的质量要求高于本细则中检验项目依据的标准要求时，应按被检产品明示的质量要求判定。</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若被检产品明示的质量要求低于本细则中检验项目依据的强制性标准要求时，应按照强制性标准要求判定。</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若被检产品明示的质量要求低于或包含本细则中检验项目依据的推荐性标准要求时，应以被检产品明示的质量要求判定。</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若被检产品明示的质量要求缺少本细则中检验项目依据的强制性标准要求时，应按照强制性标准要求判定。</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若被检产品明示的质量要求缺少本细则中检验项目依据的推荐性标准要求时，该项目不参与判定。</w:t>
      </w:r>
    </w:p>
    <w:p>
      <w:pPr>
        <w:snapToGrid w:val="0"/>
        <w:spacing w:line="440" w:lineRule="exact"/>
        <w:ind w:firstLine="420" w:firstLineChars="200"/>
        <w:rPr>
          <w:rFonts w:hint="default" w:ascii="Times New Roman" w:hAnsi="Times New Roman" w:cs="Times New Roman"/>
          <w:szCs w:val="21"/>
        </w:rPr>
      </w:pPr>
    </w:p>
    <w:p>
      <w:pPr>
        <w:snapToGrid w:val="0"/>
        <w:spacing w:line="440" w:lineRule="exact"/>
        <w:ind w:firstLine="420" w:firstLineChars="200"/>
        <w:rPr>
          <w:rFonts w:hint="default" w:ascii="Times New Roman" w:hAnsi="Times New Roman" w:cs="Times New Roman"/>
          <w:szCs w:val="21"/>
        </w:rPr>
      </w:pPr>
    </w:p>
    <w:sectPr>
      <w:footerReference r:id="rId3" w:type="default"/>
      <w:footerReference r:id="rId4" w:type="even"/>
      <w:pgSz w:w="11906" w:h="16838"/>
      <w:pgMar w:top="1984" w:right="1474" w:bottom="1644" w:left="1474" w:header="851" w:footer="1191" w:gutter="0"/>
      <w:pgNumType w:start="2"/>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2010600030101010101"/>
    <w:charset w:val="0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3"/>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Wingdings 3">
    <w:panose1 w:val="05040102010807070707"/>
    <w:charset w:val="00"/>
    <w:family w:val="auto"/>
    <w:pitch w:val="default"/>
    <w:sig w:usb0="00000000" w:usb1="00000000" w:usb2="00000000" w:usb3="00000000" w:csb0="80000000" w:csb1="00000000"/>
  </w:font>
  <w:font w:name="等线">
    <w:altName w:val="华文仿宋"/>
    <w:panose1 w:val="02010600030101010101"/>
    <w:charset w:val="86"/>
    <w:family w:val="auto"/>
    <w:pitch w:val="default"/>
    <w:sig w:usb0="00000000" w:usb1="00000000" w:usb2="00000016" w:usb3="00000000" w:csb0="0004000F"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left="210" w:leftChars="100" w:right="210" w:rightChars="100"/>
      <w:jc w:val="right"/>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5</w:t>
    </w:r>
    <w:r>
      <w:rPr>
        <w:rFonts w:hint="eastAsia" w:ascii="宋体" w:hAnsi="宋体" w:cs="宋体"/>
        <w:sz w:val="28"/>
        <w:szCs w:val="28"/>
      </w:rPr>
      <w:fldChar w:fldCharType="end"/>
    </w:r>
    <w:r>
      <w:rPr>
        <w:rFonts w:hint="eastAsia" w:ascii="宋体" w:hAnsi="宋体" w:cs="宋体"/>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left="315" w:leftChars="150" w:right="315" w:rightChars="150"/>
      <w:jc w:val="both"/>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6</w:t>
    </w:r>
    <w:r>
      <w:rPr>
        <w:rFonts w:hint="eastAsia" w:ascii="宋体" w:hAnsi="宋体" w:cs="宋体"/>
        <w:sz w:val="28"/>
        <w:szCs w:val="28"/>
      </w:rPr>
      <w:fldChar w:fldCharType="end"/>
    </w:r>
    <w:r>
      <w:rPr>
        <w:rFonts w:hint="eastAsia" w:ascii="宋体" w:hAnsi="宋体" w:cs="宋体"/>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false"/>
  <w:bordersDoNotSurroundFooter w:val="false"/>
  <w:documentProtection w:enforcement="0"/>
  <w:defaultTabStop w:val="420"/>
  <w:hyphenationZone w:val="360"/>
  <w:evenAndOddHeaders w:val="true"/>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4ZWQ4NmNkYTdlNmNiOTcwYjg4MzgzZGEyNzc0YzgifQ=="/>
    <w:docVar w:name="KSO_WPS_MARK_KEY" w:val="d361df09-21b5-4891-ad20-7bd3f1a8b5b3"/>
  </w:docVars>
  <w:rsids>
    <w:rsidRoot w:val="003611BA"/>
    <w:rsid w:val="00011666"/>
    <w:rsid w:val="00014997"/>
    <w:rsid w:val="00030852"/>
    <w:rsid w:val="00052D0A"/>
    <w:rsid w:val="00053DF0"/>
    <w:rsid w:val="000564D8"/>
    <w:rsid w:val="000660D8"/>
    <w:rsid w:val="0006741A"/>
    <w:rsid w:val="00076FDF"/>
    <w:rsid w:val="00080190"/>
    <w:rsid w:val="000A0C0F"/>
    <w:rsid w:val="000A1F68"/>
    <w:rsid w:val="000B2754"/>
    <w:rsid w:val="000D0372"/>
    <w:rsid w:val="000E3B8E"/>
    <w:rsid w:val="000E51B5"/>
    <w:rsid w:val="000E5A92"/>
    <w:rsid w:val="000E6B70"/>
    <w:rsid w:val="000F3EFF"/>
    <w:rsid w:val="0010045C"/>
    <w:rsid w:val="00105F4F"/>
    <w:rsid w:val="001134E2"/>
    <w:rsid w:val="00130C21"/>
    <w:rsid w:val="0013450E"/>
    <w:rsid w:val="00135D58"/>
    <w:rsid w:val="001479E1"/>
    <w:rsid w:val="00160B75"/>
    <w:rsid w:val="00171AE6"/>
    <w:rsid w:val="00175325"/>
    <w:rsid w:val="00177DAE"/>
    <w:rsid w:val="001960E8"/>
    <w:rsid w:val="00197FAE"/>
    <w:rsid w:val="001A2854"/>
    <w:rsid w:val="001B1ECE"/>
    <w:rsid w:val="001B3557"/>
    <w:rsid w:val="001C00A7"/>
    <w:rsid w:val="001C3163"/>
    <w:rsid w:val="001D3021"/>
    <w:rsid w:val="001E7E75"/>
    <w:rsid w:val="001F29C8"/>
    <w:rsid w:val="001F4D89"/>
    <w:rsid w:val="0021010D"/>
    <w:rsid w:val="00251E34"/>
    <w:rsid w:val="002543F2"/>
    <w:rsid w:val="002642D1"/>
    <w:rsid w:val="00267BE7"/>
    <w:rsid w:val="00283526"/>
    <w:rsid w:val="00287CFB"/>
    <w:rsid w:val="002A1067"/>
    <w:rsid w:val="002A3CF4"/>
    <w:rsid w:val="002C75FA"/>
    <w:rsid w:val="002D762D"/>
    <w:rsid w:val="002F3260"/>
    <w:rsid w:val="00300201"/>
    <w:rsid w:val="00301FD0"/>
    <w:rsid w:val="003100C5"/>
    <w:rsid w:val="003139FD"/>
    <w:rsid w:val="00324C61"/>
    <w:rsid w:val="00342341"/>
    <w:rsid w:val="00354255"/>
    <w:rsid w:val="00355360"/>
    <w:rsid w:val="00355D1E"/>
    <w:rsid w:val="00360312"/>
    <w:rsid w:val="003611BA"/>
    <w:rsid w:val="003701D3"/>
    <w:rsid w:val="0038168C"/>
    <w:rsid w:val="00394080"/>
    <w:rsid w:val="00394540"/>
    <w:rsid w:val="00394768"/>
    <w:rsid w:val="003A4091"/>
    <w:rsid w:val="003A7583"/>
    <w:rsid w:val="003C4925"/>
    <w:rsid w:val="003E4BDB"/>
    <w:rsid w:val="003E72E4"/>
    <w:rsid w:val="00402234"/>
    <w:rsid w:val="00410DF3"/>
    <w:rsid w:val="004123BE"/>
    <w:rsid w:val="00424667"/>
    <w:rsid w:val="004249BF"/>
    <w:rsid w:val="004314DE"/>
    <w:rsid w:val="004565AD"/>
    <w:rsid w:val="004601B9"/>
    <w:rsid w:val="00473C98"/>
    <w:rsid w:val="004908A6"/>
    <w:rsid w:val="004A34C8"/>
    <w:rsid w:val="004A4DFC"/>
    <w:rsid w:val="004B599D"/>
    <w:rsid w:val="004C6EAB"/>
    <w:rsid w:val="004C79DF"/>
    <w:rsid w:val="004D05AF"/>
    <w:rsid w:val="004E21AE"/>
    <w:rsid w:val="004E3189"/>
    <w:rsid w:val="004E43E4"/>
    <w:rsid w:val="004E741E"/>
    <w:rsid w:val="00507AE0"/>
    <w:rsid w:val="0051512A"/>
    <w:rsid w:val="005167DB"/>
    <w:rsid w:val="00526A3A"/>
    <w:rsid w:val="0054203D"/>
    <w:rsid w:val="00560FE5"/>
    <w:rsid w:val="00577F36"/>
    <w:rsid w:val="00580FD4"/>
    <w:rsid w:val="0058127B"/>
    <w:rsid w:val="005A1D68"/>
    <w:rsid w:val="005A68B3"/>
    <w:rsid w:val="005B23B4"/>
    <w:rsid w:val="005B23C3"/>
    <w:rsid w:val="005B427C"/>
    <w:rsid w:val="005E2BF4"/>
    <w:rsid w:val="00624DD6"/>
    <w:rsid w:val="006350F9"/>
    <w:rsid w:val="0064014B"/>
    <w:rsid w:val="00652075"/>
    <w:rsid w:val="00652B40"/>
    <w:rsid w:val="0065576E"/>
    <w:rsid w:val="00660FFF"/>
    <w:rsid w:val="00661A7F"/>
    <w:rsid w:val="0066309F"/>
    <w:rsid w:val="00670265"/>
    <w:rsid w:val="0067449B"/>
    <w:rsid w:val="00675807"/>
    <w:rsid w:val="006904C0"/>
    <w:rsid w:val="006938F7"/>
    <w:rsid w:val="00697395"/>
    <w:rsid w:val="006A4628"/>
    <w:rsid w:val="006B1E6D"/>
    <w:rsid w:val="006B26CB"/>
    <w:rsid w:val="006C75F5"/>
    <w:rsid w:val="006D2C66"/>
    <w:rsid w:val="006F3686"/>
    <w:rsid w:val="006F6818"/>
    <w:rsid w:val="00700705"/>
    <w:rsid w:val="007032EA"/>
    <w:rsid w:val="00712FE6"/>
    <w:rsid w:val="00721DBD"/>
    <w:rsid w:val="007346B4"/>
    <w:rsid w:val="007408AB"/>
    <w:rsid w:val="0076570D"/>
    <w:rsid w:val="00766407"/>
    <w:rsid w:val="007844D7"/>
    <w:rsid w:val="007849D4"/>
    <w:rsid w:val="00791F72"/>
    <w:rsid w:val="007B5143"/>
    <w:rsid w:val="007C5B37"/>
    <w:rsid w:val="007C7A35"/>
    <w:rsid w:val="007D111D"/>
    <w:rsid w:val="007D668A"/>
    <w:rsid w:val="007E518A"/>
    <w:rsid w:val="007E7B78"/>
    <w:rsid w:val="00801099"/>
    <w:rsid w:val="0081765C"/>
    <w:rsid w:val="00836457"/>
    <w:rsid w:val="00842CE3"/>
    <w:rsid w:val="008536DB"/>
    <w:rsid w:val="00863267"/>
    <w:rsid w:val="00863F48"/>
    <w:rsid w:val="00872CC4"/>
    <w:rsid w:val="008737DB"/>
    <w:rsid w:val="00877F66"/>
    <w:rsid w:val="008B4A07"/>
    <w:rsid w:val="008C2A7E"/>
    <w:rsid w:val="008D5AB0"/>
    <w:rsid w:val="008E4C32"/>
    <w:rsid w:val="008F131B"/>
    <w:rsid w:val="009001D7"/>
    <w:rsid w:val="00910C47"/>
    <w:rsid w:val="00911043"/>
    <w:rsid w:val="00924FE0"/>
    <w:rsid w:val="00933214"/>
    <w:rsid w:val="009619DE"/>
    <w:rsid w:val="00963128"/>
    <w:rsid w:val="009740D6"/>
    <w:rsid w:val="00974431"/>
    <w:rsid w:val="009761A4"/>
    <w:rsid w:val="009841C7"/>
    <w:rsid w:val="009939DE"/>
    <w:rsid w:val="009948B6"/>
    <w:rsid w:val="009A6925"/>
    <w:rsid w:val="009B06A4"/>
    <w:rsid w:val="009B3AF3"/>
    <w:rsid w:val="009B48C4"/>
    <w:rsid w:val="009C1C38"/>
    <w:rsid w:val="009C1D63"/>
    <w:rsid w:val="009D2CD9"/>
    <w:rsid w:val="009D2E2A"/>
    <w:rsid w:val="009E6086"/>
    <w:rsid w:val="009F189F"/>
    <w:rsid w:val="00A055B0"/>
    <w:rsid w:val="00A0674B"/>
    <w:rsid w:val="00A16228"/>
    <w:rsid w:val="00A204AC"/>
    <w:rsid w:val="00A4091B"/>
    <w:rsid w:val="00A45E64"/>
    <w:rsid w:val="00A5157E"/>
    <w:rsid w:val="00A66A3D"/>
    <w:rsid w:val="00A7543F"/>
    <w:rsid w:val="00A77E8A"/>
    <w:rsid w:val="00A916BA"/>
    <w:rsid w:val="00A93A2D"/>
    <w:rsid w:val="00AA0D8B"/>
    <w:rsid w:val="00AA1A77"/>
    <w:rsid w:val="00AB2350"/>
    <w:rsid w:val="00AB462B"/>
    <w:rsid w:val="00AC4F00"/>
    <w:rsid w:val="00AD0E3E"/>
    <w:rsid w:val="00AD1C83"/>
    <w:rsid w:val="00AD2132"/>
    <w:rsid w:val="00AD610D"/>
    <w:rsid w:val="00AE1821"/>
    <w:rsid w:val="00AE471A"/>
    <w:rsid w:val="00AE5734"/>
    <w:rsid w:val="00AF5572"/>
    <w:rsid w:val="00AF593A"/>
    <w:rsid w:val="00B008B5"/>
    <w:rsid w:val="00B100BF"/>
    <w:rsid w:val="00B137E4"/>
    <w:rsid w:val="00B20E9E"/>
    <w:rsid w:val="00B258D8"/>
    <w:rsid w:val="00B46608"/>
    <w:rsid w:val="00B476F3"/>
    <w:rsid w:val="00B51584"/>
    <w:rsid w:val="00B54E2B"/>
    <w:rsid w:val="00B55224"/>
    <w:rsid w:val="00B61E83"/>
    <w:rsid w:val="00B80476"/>
    <w:rsid w:val="00B95B33"/>
    <w:rsid w:val="00B97F97"/>
    <w:rsid w:val="00BC036B"/>
    <w:rsid w:val="00BC413F"/>
    <w:rsid w:val="00BD109E"/>
    <w:rsid w:val="00BD2490"/>
    <w:rsid w:val="00BD3023"/>
    <w:rsid w:val="00BE2C4C"/>
    <w:rsid w:val="00C04FF3"/>
    <w:rsid w:val="00C06EF5"/>
    <w:rsid w:val="00C075F6"/>
    <w:rsid w:val="00C174BC"/>
    <w:rsid w:val="00C17712"/>
    <w:rsid w:val="00C17F20"/>
    <w:rsid w:val="00C207B1"/>
    <w:rsid w:val="00C21785"/>
    <w:rsid w:val="00C21C4E"/>
    <w:rsid w:val="00C345BB"/>
    <w:rsid w:val="00C46A22"/>
    <w:rsid w:val="00C5322B"/>
    <w:rsid w:val="00C57739"/>
    <w:rsid w:val="00C636A3"/>
    <w:rsid w:val="00C637C7"/>
    <w:rsid w:val="00C71A81"/>
    <w:rsid w:val="00C85631"/>
    <w:rsid w:val="00C9467F"/>
    <w:rsid w:val="00CA58E7"/>
    <w:rsid w:val="00CB14A9"/>
    <w:rsid w:val="00CB5484"/>
    <w:rsid w:val="00CD3877"/>
    <w:rsid w:val="00CF5F1B"/>
    <w:rsid w:val="00D1325F"/>
    <w:rsid w:val="00D15332"/>
    <w:rsid w:val="00D26154"/>
    <w:rsid w:val="00D31DB4"/>
    <w:rsid w:val="00D6657B"/>
    <w:rsid w:val="00D71E2A"/>
    <w:rsid w:val="00D727ED"/>
    <w:rsid w:val="00D732ED"/>
    <w:rsid w:val="00D768C6"/>
    <w:rsid w:val="00D85C2A"/>
    <w:rsid w:val="00D879A0"/>
    <w:rsid w:val="00D92551"/>
    <w:rsid w:val="00D92B01"/>
    <w:rsid w:val="00D9506C"/>
    <w:rsid w:val="00D969BA"/>
    <w:rsid w:val="00DA66B2"/>
    <w:rsid w:val="00DB24B2"/>
    <w:rsid w:val="00DC0140"/>
    <w:rsid w:val="00DD42B6"/>
    <w:rsid w:val="00DD6F7D"/>
    <w:rsid w:val="00DD7E3B"/>
    <w:rsid w:val="00DE5404"/>
    <w:rsid w:val="00DE7240"/>
    <w:rsid w:val="00DF481F"/>
    <w:rsid w:val="00E1489E"/>
    <w:rsid w:val="00E155ED"/>
    <w:rsid w:val="00E24FC8"/>
    <w:rsid w:val="00E55DC8"/>
    <w:rsid w:val="00E5609E"/>
    <w:rsid w:val="00E735BE"/>
    <w:rsid w:val="00E758B0"/>
    <w:rsid w:val="00E859DC"/>
    <w:rsid w:val="00E96130"/>
    <w:rsid w:val="00ED2869"/>
    <w:rsid w:val="00EF0AC2"/>
    <w:rsid w:val="00EF2B9F"/>
    <w:rsid w:val="00F20A2A"/>
    <w:rsid w:val="00F30484"/>
    <w:rsid w:val="00F31C70"/>
    <w:rsid w:val="00F56967"/>
    <w:rsid w:val="00F97EA2"/>
    <w:rsid w:val="00FA2884"/>
    <w:rsid w:val="00FA45C8"/>
    <w:rsid w:val="00FA4D81"/>
    <w:rsid w:val="00FA59DC"/>
    <w:rsid w:val="00FA752F"/>
    <w:rsid w:val="00FC0C80"/>
    <w:rsid w:val="00FC1893"/>
    <w:rsid w:val="00FD1BC0"/>
    <w:rsid w:val="00FE1549"/>
    <w:rsid w:val="00FF75D5"/>
    <w:rsid w:val="01757279"/>
    <w:rsid w:val="02394E6E"/>
    <w:rsid w:val="0594565F"/>
    <w:rsid w:val="060B4902"/>
    <w:rsid w:val="071C39DD"/>
    <w:rsid w:val="0BAC4466"/>
    <w:rsid w:val="0C3020D5"/>
    <w:rsid w:val="0DF707EE"/>
    <w:rsid w:val="0FD85EE2"/>
    <w:rsid w:val="104E66E2"/>
    <w:rsid w:val="14707C4A"/>
    <w:rsid w:val="14A748C1"/>
    <w:rsid w:val="1B2A47F6"/>
    <w:rsid w:val="1C5A40F3"/>
    <w:rsid w:val="1FBF627D"/>
    <w:rsid w:val="21A6643E"/>
    <w:rsid w:val="2230378B"/>
    <w:rsid w:val="255F6C1A"/>
    <w:rsid w:val="272C44D5"/>
    <w:rsid w:val="29817179"/>
    <w:rsid w:val="2C062286"/>
    <w:rsid w:val="303A3EAC"/>
    <w:rsid w:val="33DD63B7"/>
    <w:rsid w:val="38983E4E"/>
    <w:rsid w:val="3AEB18C6"/>
    <w:rsid w:val="3BD8119D"/>
    <w:rsid w:val="3C005133"/>
    <w:rsid w:val="3C2E486E"/>
    <w:rsid w:val="3C686C5B"/>
    <w:rsid w:val="3CFC19D8"/>
    <w:rsid w:val="45E3CBB9"/>
    <w:rsid w:val="4A1D0919"/>
    <w:rsid w:val="4FBA9E1D"/>
    <w:rsid w:val="4FC039DD"/>
    <w:rsid w:val="50401092"/>
    <w:rsid w:val="559772D9"/>
    <w:rsid w:val="55CC633D"/>
    <w:rsid w:val="5DBF6F35"/>
    <w:rsid w:val="5DF51C50"/>
    <w:rsid w:val="60D566FD"/>
    <w:rsid w:val="61C07872"/>
    <w:rsid w:val="61D054C2"/>
    <w:rsid w:val="61F5033B"/>
    <w:rsid w:val="633F1A4A"/>
    <w:rsid w:val="652F585C"/>
    <w:rsid w:val="6AAB2BBC"/>
    <w:rsid w:val="723415EF"/>
    <w:rsid w:val="734600DD"/>
    <w:rsid w:val="73770918"/>
    <w:rsid w:val="77DFD360"/>
    <w:rsid w:val="7A3B6FAF"/>
    <w:rsid w:val="7DFA5F86"/>
    <w:rsid w:val="7E9A05C8"/>
    <w:rsid w:val="F9FBABDE"/>
    <w:rsid w:val="FDCF8647"/>
    <w:rsid w:val="FE5C391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3">
    <w:name w:val="annotation text"/>
    <w:basedOn w:val="1"/>
    <w:link w:val="17"/>
    <w:unhideWhenUsed/>
    <w:qFormat/>
    <w:uiPriority w:val="99"/>
    <w:pPr>
      <w:jc w:val="left"/>
    </w:pPr>
  </w:style>
  <w:style w:type="paragraph" w:styleId="4">
    <w:name w:val="Body Text Indent"/>
    <w:basedOn w:val="1"/>
    <w:link w:val="18"/>
    <w:qFormat/>
    <w:uiPriority w:val="0"/>
    <w:pPr>
      <w:ind w:firstLine="600" w:firstLineChars="200"/>
    </w:pPr>
    <w:rPr>
      <w:rFonts w:ascii="Times New Roman" w:hAnsi="Times New Roman" w:eastAsia="仿宋_GB2312"/>
      <w:kern w:val="0"/>
      <w:sz w:val="30"/>
      <w:szCs w:val="24"/>
    </w:rPr>
  </w:style>
  <w:style w:type="paragraph" w:styleId="5">
    <w:name w:val="Plain Text"/>
    <w:basedOn w:val="1"/>
    <w:link w:val="19"/>
    <w:unhideWhenUsed/>
    <w:qFormat/>
    <w:uiPriority w:val="99"/>
    <w:rPr>
      <w:rFonts w:ascii="宋体" w:hAnsi="Courier New"/>
      <w:kern w:val="0"/>
      <w:sz w:val="20"/>
      <w:szCs w:val="20"/>
    </w:rPr>
  </w:style>
  <w:style w:type="paragraph" w:styleId="6">
    <w:name w:val="Balloon Text"/>
    <w:basedOn w:val="1"/>
    <w:link w:val="20"/>
    <w:unhideWhenUsed/>
    <w:qFormat/>
    <w:uiPriority w:val="99"/>
    <w:rPr>
      <w:kern w:val="0"/>
      <w:sz w:val="18"/>
      <w:szCs w:val="18"/>
    </w:rPr>
  </w:style>
  <w:style w:type="paragraph" w:styleId="7">
    <w:name w:val="footer"/>
    <w:basedOn w:val="1"/>
    <w:link w:val="21"/>
    <w:unhideWhenUsed/>
    <w:qFormat/>
    <w:uiPriority w:val="99"/>
    <w:pPr>
      <w:tabs>
        <w:tab w:val="center" w:pos="4153"/>
        <w:tab w:val="right" w:pos="8306"/>
      </w:tabs>
      <w:snapToGrid w:val="0"/>
      <w:jc w:val="left"/>
    </w:pPr>
    <w:rPr>
      <w:kern w:val="0"/>
      <w:sz w:val="18"/>
      <w:szCs w:val="18"/>
    </w:rPr>
  </w:style>
  <w:style w:type="paragraph" w:styleId="8">
    <w:name w:val="header"/>
    <w:basedOn w:val="1"/>
    <w:link w:val="22"/>
    <w:unhideWhenUsed/>
    <w:qFormat/>
    <w:uiPriority w:val="0"/>
    <w:pPr>
      <w:pBdr>
        <w:bottom w:val="single" w:color="auto" w:sz="6" w:space="1"/>
      </w:pBdr>
      <w:tabs>
        <w:tab w:val="center" w:pos="4153"/>
        <w:tab w:val="right" w:pos="8306"/>
      </w:tabs>
      <w:snapToGrid w:val="0"/>
      <w:jc w:val="center"/>
    </w:pPr>
    <w:rPr>
      <w:kern w:val="0"/>
      <w:sz w:val="18"/>
      <w:szCs w:val="18"/>
    </w:rPr>
  </w:style>
  <w:style w:type="paragraph" w:styleId="9">
    <w:name w:val="Body Text Indent 3"/>
    <w:basedOn w:val="1"/>
    <w:link w:val="23"/>
    <w:qFormat/>
    <w:uiPriority w:val="0"/>
    <w:pPr>
      <w:widowControl/>
      <w:autoSpaceDE w:val="0"/>
      <w:autoSpaceDN w:val="0"/>
      <w:adjustRightInd w:val="0"/>
      <w:snapToGrid w:val="0"/>
      <w:spacing w:line="600" w:lineRule="exact"/>
      <w:ind w:left="646" w:leftChars="323" w:firstLine="643" w:firstLineChars="201"/>
    </w:pPr>
    <w:rPr>
      <w:rFonts w:ascii="仿宋_GB2312" w:hAnsi="Times New Roman" w:eastAsia="仿宋_GB2312"/>
      <w:kern w:val="0"/>
      <w:sz w:val="32"/>
      <w:szCs w:val="20"/>
    </w:rPr>
  </w:style>
  <w:style w:type="paragraph" w:styleId="10">
    <w:name w:val="annotation subject"/>
    <w:basedOn w:val="3"/>
    <w:next w:val="3"/>
    <w:link w:val="24"/>
    <w:unhideWhenUsed/>
    <w:qFormat/>
    <w:uiPriority w:val="99"/>
    <w:rPr>
      <w:b/>
      <w:bCs/>
    </w:rPr>
  </w:style>
  <w:style w:type="table" w:styleId="12">
    <w:name w:val="Table Grid"/>
    <w:basedOn w:val="11"/>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qFormat/>
    <w:uiPriority w:val="0"/>
  </w:style>
  <w:style w:type="character" w:styleId="15">
    <w:name w:val="annotation reference"/>
    <w:unhideWhenUsed/>
    <w:qFormat/>
    <w:uiPriority w:val="99"/>
    <w:rPr>
      <w:sz w:val="21"/>
      <w:szCs w:val="21"/>
    </w:rPr>
  </w:style>
  <w:style w:type="character" w:customStyle="1" w:styleId="16">
    <w:name w:val="标题 1 Char"/>
    <w:link w:val="2"/>
    <w:qFormat/>
    <w:uiPriority w:val="9"/>
    <w:rPr>
      <w:rFonts w:ascii="Calibri" w:hAnsi="Calibri" w:eastAsia="宋体" w:cs="Times New Roman"/>
      <w:b/>
      <w:bCs/>
      <w:kern w:val="44"/>
      <w:sz w:val="44"/>
      <w:szCs w:val="44"/>
    </w:rPr>
  </w:style>
  <w:style w:type="character" w:customStyle="1" w:styleId="17">
    <w:name w:val="批注文字 Char"/>
    <w:link w:val="3"/>
    <w:semiHidden/>
    <w:qFormat/>
    <w:uiPriority w:val="99"/>
    <w:rPr>
      <w:rFonts w:ascii="Calibri" w:hAnsi="Calibri"/>
      <w:kern w:val="2"/>
      <w:sz w:val="21"/>
      <w:szCs w:val="22"/>
    </w:rPr>
  </w:style>
  <w:style w:type="character" w:customStyle="1" w:styleId="18">
    <w:name w:val="正文文本缩进 Char"/>
    <w:link w:val="4"/>
    <w:qFormat/>
    <w:uiPriority w:val="0"/>
    <w:rPr>
      <w:rFonts w:ascii="Times New Roman" w:hAnsi="Times New Roman" w:eastAsia="仿宋_GB2312" w:cs="Times New Roman"/>
      <w:sz w:val="30"/>
      <w:szCs w:val="24"/>
    </w:rPr>
  </w:style>
  <w:style w:type="character" w:customStyle="1" w:styleId="19">
    <w:name w:val="纯文本 Char"/>
    <w:link w:val="5"/>
    <w:qFormat/>
    <w:uiPriority w:val="99"/>
    <w:rPr>
      <w:rFonts w:ascii="宋体" w:hAnsi="Courier New" w:eastAsia="宋体" w:cs="Times New Roman"/>
      <w:kern w:val="0"/>
      <w:sz w:val="20"/>
      <w:szCs w:val="20"/>
    </w:rPr>
  </w:style>
  <w:style w:type="character" w:customStyle="1" w:styleId="20">
    <w:name w:val="批注框文本 Char"/>
    <w:link w:val="6"/>
    <w:qFormat/>
    <w:uiPriority w:val="99"/>
    <w:rPr>
      <w:rFonts w:ascii="Calibri" w:hAnsi="Calibri" w:eastAsia="宋体" w:cs="Times New Roman"/>
      <w:sz w:val="18"/>
      <w:szCs w:val="18"/>
    </w:rPr>
  </w:style>
  <w:style w:type="character" w:customStyle="1" w:styleId="21">
    <w:name w:val="页脚 Char"/>
    <w:link w:val="7"/>
    <w:qFormat/>
    <w:uiPriority w:val="99"/>
    <w:rPr>
      <w:rFonts w:ascii="Calibri" w:hAnsi="Calibri" w:eastAsia="宋体" w:cs="Times New Roman"/>
      <w:sz w:val="18"/>
      <w:szCs w:val="18"/>
    </w:rPr>
  </w:style>
  <w:style w:type="character" w:customStyle="1" w:styleId="22">
    <w:name w:val="页眉 Char"/>
    <w:link w:val="8"/>
    <w:qFormat/>
    <w:uiPriority w:val="0"/>
    <w:rPr>
      <w:rFonts w:ascii="Calibri" w:hAnsi="Calibri" w:eastAsia="宋体" w:cs="Times New Roman"/>
      <w:sz w:val="18"/>
      <w:szCs w:val="18"/>
    </w:rPr>
  </w:style>
  <w:style w:type="character" w:customStyle="1" w:styleId="23">
    <w:name w:val="正文文本缩进 3 Char"/>
    <w:link w:val="9"/>
    <w:qFormat/>
    <w:uiPriority w:val="0"/>
    <w:rPr>
      <w:rFonts w:ascii="仿宋_GB2312" w:hAnsi="Times New Roman" w:eastAsia="仿宋_GB2312" w:cs="Times New Roman"/>
      <w:kern w:val="0"/>
      <w:sz w:val="32"/>
      <w:szCs w:val="20"/>
    </w:rPr>
  </w:style>
  <w:style w:type="character" w:customStyle="1" w:styleId="24">
    <w:name w:val="批注主题 Char"/>
    <w:link w:val="10"/>
    <w:semiHidden/>
    <w:qFormat/>
    <w:uiPriority w:val="99"/>
    <w:rPr>
      <w:rFonts w:ascii="Calibri" w:hAnsi="Calibri"/>
      <w:b/>
      <w:bCs/>
      <w:kern w:val="2"/>
      <w:sz w:val="21"/>
      <w:szCs w:val="22"/>
    </w:rPr>
  </w:style>
  <w:style w:type="character" w:customStyle="1" w:styleId="25">
    <w:name w:val="页眉 字符"/>
    <w:qFormat/>
    <w:uiPriority w:val="0"/>
    <w:rPr>
      <w:kern w:val="2"/>
      <w:sz w:val="18"/>
      <w:szCs w:val="18"/>
    </w:rPr>
  </w:style>
  <w:style w:type="paragraph" w:customStyle="1" w:styleId="26">
    <w:name w:val="Char11"/>
    <w:basedOn w:val="1"/>
    <w:qFormat/>
    <w:uiPriority w:val="0"/>
    <w:pPr>
      <w:jc w:val="center"/>
    </w:pPr>
    <w:rPr>
      <w:rFonts w:ascii="Times New Roman" w:hAnsi="Times New Roman"/>
      <w:szCs w:val="21"/>
    </w:rPr>
  </w:style>
  <w:style w:type="paragraph" w:customStyle="1" w:styleId="27">
    <w:name w:val="Char Char"/>
    <w:basedOn w:val="1"/>
    <w:semiHidden/>
    <w:qFormat/>
    <w:uiPriority w:val="0"/>
    <w:rPr>
      <w:rFonts w:ascii="Times New Roman" w:hAnsi="Times New Roman"/>
      <w:szCs w:val="20"/>
    </w:rPr>
  </w:style>
  <w:style w:type="paragraph" w:customStyle="1" w:styleId="28">
    <w:name w:val="列出段落1"/>
    <w:basedOn w:val="1"/>
    <w:qFormat/>
    <w:uiPriority w:val="34"/>
    <w:pPr>
      <w:ind w:firstLine="420" w:firstLineChars="200"/>
    </w:pPr>
  </w:style>
  <w:style w:type="paragraph" w:customStyle="1" w:styleId="29">
    <w:name w:val="列出段落2"/>
    <w:basedOn w:val="1"/>
    <w:qFormat/>
    <w:uiPriority w:val="99"/>
    <w:pPr>
      <w:ind w:firstLine="420" w:firstLineChars="200"/>
    </w:pPr>
  </w:style>
  <w:style w:type="paragraph" w:customStyle="1" w:styleId="30">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paragraph" w:customStyle="1" w:styleId="31">
    <w:name w:val="正文1"/>
    <w:basedOn w:val="1"/>
    <w:qFormat/>
    <w:uiPriority w:val="0"/>
    <w:pPr>
      <w:adjustRightInd w:val="0"/>
      <w:spacing w:before="120" w:after="120" w:line="300" w:lineRule="auto"/>
      <w:jc w:val="center"/>
      <w:textAlignment w:val="baseline"/>
    </w:pPr>
    <w:rPr>
      <w:rFonts w:ascii="Times New Roman" w:hAnsi="Times New Roman"/>
      <w:szCs w:val="20"/>
    </w:rPr>
  </w:style>
  <w:style w:type="paragraph" w:customStyle="1" w:styleId="32">
    <w:name w:val="段"/>
    <w:link w:val="33"/>
    <w:qFormat/>
    <w:uiPriority w:val="0"/>
    <w:pPr>
      <w:autoSpaceDE w:val="0"/>
      <w:autoSpaceDN w:val="0"/>
      <w:ind w:firstLine="200" w:firstLineChars="200"/>
      <w:jc w:val="both"/>
    </w:pPr>
    <w:rPr>
      <w:rFonts w:ascii="宋体" w:hAnsi="Times New Roman" w:eastAsia="宋体" w:cs="Times New Roman"/>
      <w:lang w:val="en-US" w:eastAsia="zh-CN" w:bidi="ar-SA"/>
    </w:rPr>
  </w:style>
  <w:style w:type="character" w:customStyle="1" w:styleId="33">
    <w:name w:val="段 Char"/>
    <w:link w:val="32"/>
    <w:qFormat/>
    <w:uiPriority w:val="0"/>
    <w:rPr>
      <w:rFonts w:ascii="宋体"/>
      <w:lang w:val="en-US" w:eastAsia="zh-CN" w:bidi="ar-SA"/>
    </w:rPr>
  </w:style>
  <w:style w:type="paragraph" w:styleId="34">
    <w:name w:val="List Paragraph"/>
    <w:basedOn w:val="1"/>
    <w:qFormat/>
    <w:uiPriority w:val="34"/>
    <w:pPr>
      <w:ind w:firstLine="420" w:firstLineChars="200"/>
    </w:pPr>
  </w:style>
  <w:style w:type="character" w:customStyle="1" w:styleId="35">
    <w:name w:val="ask-title"/>
    <w:qFormat/>
    <w:uiPriority w:val="0"/>
  </w:style>
  <w:style w:type="character" w:customStyle="1" w:styleId="36">
    <w:name w:val="font31"/>
    <w:qFormat/>
    <w:uiPriority w:val="0"/>
    <w:rPr>
      <w:rFonts w:hint="eastAsia" w:ascii="宋体" w:hAnsi="宋体" w:eastAsia="宋体" w:cs="宋体"/>
      <w:color w:val="000000"/>
      <w:sz w:val="18"/>
      <w:szCs w:val="18"/>
      <w:u w:val="none"/>
    </w:rPr>
  </w:style>
  <w:style w:type="character" w:customStyle="1" w:styleId="37">
    <w:name w:val="font21"/>
    <w:qFormat/>
    <w:uiPriority w:val="0"/>
    <w:rPr>
      <w:rFonts w:hint="default" w:ascii="Times New Roman" w:hAnsi="Times New Roman" w:cs="Times New Roman"/>
      <w:color w:val="000000"/>
      <w:sz w:val="18"/>
      <w:szCs w:val="18"/>
      <w:u w:val="none"/>
    </w:rPr>
  </w:style>
  <w:style w:type="paragraph" w:customStyle="1" w:styleId="38">
    <w:name w:val="_Style 37"/>
    <w:unhideWhenUsed/>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743</Words>
  <Characters>1766</Characters>
  <Lines>32</Lines>
  <Paragraphs>9</Paragraphs>
  <TotalTime>0</TotalTime>
  <ScaleCrop>false</ScaleCrop>
  <LinksUpToDate>false</LinksUpToDate>
  <CharactersWithSpaces>1873</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2024-03-19T17:02:00Z</dcterms:created>
  <dc:creator>oa</dc:creator>
  <cp:lastModifiedBy>朱俊戎</cp:lastModifiedBy>
  <dcterms:modified xsi:type="dcterms:W3CDTF">2025-08-04T09:09:27Z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DE0080C34D9F46A4BA79DCD69157DFAF_13</vt:lpwstr>
  </property>
  <property fmtid="{D5CDD505-2E9C-101B-9397-08002B2CF9AE}" pid="4" name="KSOTemplateDocerSaveRecord">
    <vt:lpwstr>eyJoZGlkIjoiMWRkMGY0OGUyMTkyOGY3YzMyMDU2MzE3ZTFmMTI1OGQifQ==</vt:lpwstr>
  </property>
</Properties>
</file>