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default" w:ascii="Times New Roman" w:hAnsi="Times New Roman" w:cs="Times New Roman"/>
          <w:highlight w:val="none"/>
        </w:rPr>
      </w:pPr>
    </w:p>
    <w:p>
      <w:pPr>
        <w:widowControl w:val="0"/>
        <w:kinsoku/>
        <w:autoSpaceDE/>
        <w:autoSpaceDN/>
        <w:adjustRightInd/>
        <w:snapToGrid/>
        <w:spacing w:line="240" w:lineRule="auto"/>
        <w:jc w:val="center"/>
        <w:textAlignment w:val="auto"/>
        <w:rPr>
          <w:rFonts w:hint="default" w:ascii="Times New Roman" w:hAnsi="Times New Roman" w:eastAsia="仿宋" w:cs="Times New Roman"/>
          <w:b/>
          <w:bCs/>
          <w:snapToGrid/>
          <w:color w:val="000000"/>
          <w:kern w:val="2"/>
          <w:sz w:val="44"/>
          <w:szCs w:val="44"/>
          <w:lang w:eastAsia="zh-CN"/>
        </w:rPr>
      </w:pPr>
      <w:r>
        <w:rPr>
          <w:rFonts w:hint="default" w:ascii="Times New Roman" w:hAnsi="Times New Roman" w:eastAsia="仿宋" w:cs="Times New Roman"/>
          <w:b/>
          <w:bCs/>
          <w:snapToGrid/>
          <w:color w:val="000000"/>
          <w:kern w:val="2"/>
          <w:sz w:val="44"/>
          <w:szCs w:val="44"/>
          <w:lang w:eastAsia="zh-CN"/>
        </w:rPr>
        <w:t>江西省电子门锁产品质量省级监督抽查</w:t>
      </w:r>
    </w:p>
    <w:p>
      <w:pPr>
        <w:widowControl w:val="0"/>
        <w:kinsoku/>
        <w:autoSpaceDE/>
        <w:autoSpaceDN/>
        <w:adjustRightInd/>
        <w:snapToGrid/>
        <w:spacing w:line="240" w:lineRule="auto"/>
        <w:jc w:val="center"/>
        <w:textAlignment w:val="auto"/>
        <w:rPr>
          <w:rFonts w:hint="default" w:ascii="Times New Roman" w:hAnsi="Times New Roman" w:eastAsia="仿宋" w:cs="Times New Roman"/>
          <w:b/>
          <w:bCs/>
          <w:snapToGrid/>
          <w:color w:val="000000"/>
          <w:kern w:val="2"/>
          <w:sz w:val="44"/>
          <w:szCs w:val="44"/>
          <w:lang w:eastAsia="zh-CN"/>
        </w:rPr>
      </w:pPr>
      <w:r>
        <w:rPr>
          <w:rFonts w:hint="default" w:ascii="Times New Roman" w:hAnsi="Times New Roman" w:eastAsia="仿宋" w:cs="Times New Roman"/>
          <w:b/>
          <w:bCs/>
          <w:snapToGrid/>
          <w:color w:val="000000"/>
          <w:kern w:val="2"/>
          <w:sz w:val="44"/>
          <w:szCs w:val="44"/>
          <w:lang w:eastAsia="zh-CN"/>
        </w:rPr>
        <w:t>实施细则（2025年版）</w:t>
      </w:r>
    </w:p>
    <w:p>
      <w:pPr>
        <w:pStyle w:val="2"/>
        <w:ind w:left="0" w:leftChars="0" w:firstLine="0" w:firstLineChars="0"/>
        <w:rPr>
          <w:rFonts w:hint="default" w:ascii="Times New Roman" w:hAnsi="Times New Roman" w:eastAsia="仿宋" w:cs="Times New Roman"/>
          <w:b/>
          <w:bCs/>
          <w:snapToGrid/>
          <w:color w:val="000000"/>
          <w:kern w:val="2"/>
          <w:sz w:val="44"/>
          <w:szCs w:val="44"/>
          <w:lang w:eastAsia="zh-CN"/>
        </w:rPr>
      </w:pPr>
      <w:bookmarkStart w:id="0" w:name="_GoBack"/>
      <w:bookmarkEnd w:id="0"/>
    </w:p>
    <w:p>
      <w:pPr>
        <w:widowControl w:val="0"/>
        <w:kinsoku/>
        <w:autoSpaceDE/>
        <w:autoSpaceDN/>
        <w:adjustRightInd/>
        <w:snapToGrid/>
        <w:spacing w:before="156" w:beforeLines="50" w:line="360" w:lineRule="auto"/>
        <w:jc w:val="both"/>
        <w:textAlignment w:val="auto"/>
        <w:rPr>
          <w:rFonts w:hint="default" w:ascii="Times New Roman" w:hAnsi="Times New Roman" w:eastAsia="仿宋" w:cs="Times New Roman"/>
          <w:b/>
          <w:snapToGrid/>
          <w:kern w:val="2"/>
          <w:sz w:val="24"/>
          <w:szCs w:val="24"/>
          <w:lang w:eastAsia="zh-CN"/>
        </w:rPr>
      </w:pPr>
      <w:r>
        <w:rPr>
          <w:rFonts w:hint="default" w:ascii="Times New Roman" w:hAnsi="Times New Roman" w:eastAsia="仿宋" w:cs="Times New Roman"/>
          <w:b/>
          <w:snapToGrid/>
          <w:kern w:val="2"/>
          <w:sz w:val="24"/>
          <w:szCs w:val="24"/>
          <w:lang w:eastAsia="zh-CN"/>
        </w:rPr>
        <w:t>1 抽样方法</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z w:val="22"/>
          <w:szCs w:val="22"/>
          <w:highlight w:val="none"/>
        </w:rPr>
      </w:pPr>
      <w:r>
        <w:rPr>
          <w:rFonts w:hint="default" w:ascii="Times New Roman" w:hAnsi="Times New Roman" w:eastAsia="宋体" w:cs="Times New Roman"/>
          <w:spacing w:val="-2"/>
          <w:sz w:val="22"/>
          <w:szCs w:val="22"/>
          <w:highlight w:val="none"/>
        </w:rPr>
        <w:t>以随机抽样的方式在被抽样生产者、销售者的待销产品中抽取。</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z w:val="22"/>
          <w:szCs w:val="22"/>
          <w:highlight w:val="none"/>
        </w:rPr>
      </w:pPr>
      <w:r>
        <w:rPr>
          <w:rFonts w:hint="default" w:ascii="Times New Roman" w:hAnsi="Times New Roman" w:eastAsia="宋体" w:cs="Times New Roman"/>
          <w:spacing w:val="-2"/>
          <w:sz w:val="22"/>
          <w:szCs w:val="22"/>
          <w:highlight w:val="none"/>
        </w:rPr>
        <w:t>随机数一般可使用随机数表等方法产生。</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both"/>
        <w:textAlignment w:val="baseline"/>
        <w:rPr>
          <w:rFonts w:hint="default" w:ascii="Times New Roman" w:hAnsi="Times New Roman" w:eastAsia="宋体" w:cs="Times New Roman"/>
          <w:spacing w:val="-4"/>
          <w:sz w:val="22"/>
          <w:szCs w:val="22"/>
          <w:highlight w:val="none"/>
        </w:rPr>
      </w:pPr>
      <w:r>
        <w:rPr>
          <w:rFonts w:hint="default" w:ascii="Times New Roman" w:hAnsi="Times New Roman" w:eastAsia="宋体" w:cs="Times New Roman"/>
          <w:spacing w:val="-1"/>
          <w:sz w:val="22"/>
          <w:szCs w:val="22"/>
          <w:highlight w:val="none"/>
        </w:rPr>
        <w:t>每批次抽样数量抽取样品</w:t>
      </w:r>
      <w:r>
        <w:rPr>
          <w:rFonts w:hint="default" w:ascii="Times New Roman" w:hAnsi="Times New Roman" w:eastAsia="宋体" w:cs="Times New Roman"/>
          <w:spacing w:val="-54"/>
          <w:sz w:val="22"/>
          <w:szCs w:val="22"/>
          <w:highlight w:val="none"/>
        </w:rPr>
        <w:t xml:space="preserve"> </w:t>
      </w:r>
      <w:r>
        <w:rPr>
          <w:rFonts w:hint="default" w:ascii="Times New Roman" w:hAnsi="Times New Roman" w:eastAsia="宋体" w:cs="Times New Roman"/>
          <w:spacing w:val="-1"/>
          <w:sz w:val="22"/>
          <w:szCs w:val="22"/>
          <w:highlight w:val="none"/>
        </w:rPr>
        <w:t>2</w:t>
      </w:r>
      <w:r>
        <w:rPr>
          <w:rFonts w:hint="default" w:ascii="Times New Roman" w:hAnsi="Times New Roman" w:eastAsia="宋体" w:cs="Times New Roman"/>
          <w:spacing w:val="-55"/>
          <w:sz w:val="22"/>
          <w:szCs w:val="22"/>
          <w:highlight w:val="none"/>
        </w:rPr>
        <w:t xml:space="preserve"> </w:t>
      </w:r>
      <w:r>
        <w:rPr>
          <w:rFonts w:hint="default" w:ascii="Times New Roman" w:hAnsi="Times New Roman" w:eastAsia="宋体" w:cs="Times New Roman"/>
          <w:spacing w:val="-1"/>
          <w:sz w:val="22"/>
          <w:szCs w:val="22"/>
          <w:highlight w:val="none"/>
        </w:rPr>
        <w:t>套，其中</w:t>
      </w:r>
      <w:r>
        <w:rPr>
          <w:rFonts w:hint="default" w:ascii="Times New Roman" w:hAnsi="Times New Roman" w:eastAsia="宋体" w:cs="Times New Roman"/>
          <w:spacing w:val="-36"/>
          <w:sz w:val="22"/>
          <w:szCs w:val="22"/>
          <w:highlight w:val="none"/>
        </w:rPr>
        <w:t xml:space="preserve"> </w:t>
      </w:r>
      <w:r>
        <w:rPr>
          <w:rFonts w:hint="default" w:ascii="Times New Roman" w:hAnsi="Times New Roman" w:eastAsia="宋体" w:cs="Times New Roman"/>
          <w:spacing w:val="-1"/>
          <w:sz w:val="22"/>
          <w:szCs w:val="22"/>
          <w:highlight w:val="none"/>
        </w:rPr>
        <w:t>1</w:t>
      </w:r>
      <w:r>
        <w:rPr>
          <w:rFonts w:hint="default" w:ascii="Times New Roman" w:hAnsi="Times New Roman" w:eastAsia="宋体" w:cs="Times New Roman"/>
          <w:spacing w:val="-57"/>
          <w:sz w:val="22"/>
          <w:szCs w:val="22"/>
          <w:highlight w:val="none"/>
        </w:rPr>
        <w:t xml:space="preserve"> </w:t>
      </w:r>
      <w:r>
        <w:rPr>
          <w:rFonts w:hint="default" w:ascii="Times New Roman" w:hAnsi="Times New Roman" w:eastAsia="宋体" w:cs="Times New Roman"/>
          <w:spacing w:val="-1"/>
          <w:sz w:val="22"/>
          <w:szCs w:val="22"/>
          <w:highlight w:val="none"/>
        </w:rPr>
        <w:t>套作为检验样品，</w:t>
      </w:r>
      <w:r>
        <w:rPr>
          <w:rFonts w:hint="default" w:ascii="Times New Roman" w:hAnsi="Times New Roman" w:eastAsia="宋体" w:cs="Times New Roman"/>
          <w:spacing w:val="-2"/>
          <w:sz w:val="22"/>
          <w:szCs w:val="22"/>
          <w:highlight w:val="none"/>
        </w:rPr>
        <w:t>1</w:t>
      </w:r>
      <w:r>
        <w:rPr>
          <w:rFonts w:hint="default" w:ascii="Times New Roman" w:hAnsi="Times New Roman" w:eastAsia="宋体" w:cs="Times New Roman"/>
          <w:spacing w:val="-55"/>
          <w:sz w:val="22"/>
          <w:szCs w:val="22"/>
          <w:highlight w:val="none"/>
        </w:rPr>
        <w:t xml:space="preserve"> </w:t>
      </w:r>
      <w:r>
        <w:rPr>
          <w:rFonts w:hint="default" w:ascii="Times New Roman" w:hAnsi="Times New Roman" w:eastAsia="宋体" w:cs="Times New Roman"/>
          <w:spacing w:val="-2"/>
          <w:sz w:val="22"/>
          <w:szCs w:val="22"/>
          <w:highlight w:val="none"/>
        </w:rPr>
        <w:t>套作为备</w:t>
      </w:r>
      <w:r>
        <w:rPr>
          <w:rFonts w:hint="default" w:ascii="Times New Roman" w:hAnsi="Times New Roman" w:eastAsia="宋体" w:cs="Times New Roman"/>
          <w:spacing w:val="-4"/>
          <w:sz w:val="22"/>
          <w:szCs w:val="22"/>
          <w:highlight w:val="none"/>
        </w:rPr>
        <w:t>用样品。</w:t>
      </w:r>
    </w:p>
    <w:p>
      <w:pPr>
        <w:pStyle w:val="2"/>
        <w:rPr>
          <w:rFonts w:hint="default" w:ascii="Times New Roman" w:hAnsi="Times New Roman" w:cs="Times New Roman"/>
        </w:rPr>
      </w:pPr>
    </w:p>
    <w:p>
      <w:pPr>
        <w:widowControl w:val="0"/>
        <w:kinsoku/>
        <w:autoSpaceDE/>
        <w:autoSpaceDN/>
        <w:adjustRightInd/>
        <w:snapToGrid/>
        <w:spacing w:before="156" w:beforeLines="50" w:line="360" w:lineRule="auto"/>
        <w:jc w:val="both"/>
        <w:textAlignment w:val="auto"/>
        <w:rPr>
          <w:rFonts w:hint="default" w:ascii="Times New Roman" w:hAnsi="Times New Roman" w:eastAsia="仿宋" w:cs="Times New Roman"/>
          <w:b/>
          <w:snapToGrid/>
          <w:kern w:val="2"/>
          <w:sz w:val="24"/>
          <w:szCs w:val="24"/>
          <w:lang w:eastAsia="zh-CN"/>
        </w:rPr>
      </w:pPr>
      <w:r>
        <w:rPr>
          <w:rFonts w:hint="default" w:ascii="Times New Roman" w:hAnsi="Times New Roman" w:eastAsia="仿宋" w:cs="Times New Roman"/>
          <w:b/>
          <w:snapToGrid/>
          <w:kern w:val="2"/>
          <w:sz w:val="24"/>
          <w:szCs w:val="24"/>
          <w:lang w:eastAsia="zh-CN"/>
        </w:rPr>
        <w:t>2 检验依据</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表1</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eastAsia="宋体" w:cs="Times New Roman"/>
          <w:color w:val="000000"/>
          <w:sz w:val="21"/>
          <w:szCs w:val="21"/>
          <w:highlight w:val="none"/>
        </w:rPr>
        <w:t>电子门锁（GB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7"/>
        <w:gridCol w:w="2316"/>
        <w:gridCol w:w="2759"/>
        <w:gridCol w:w="2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序号</w:t>
            </w:r>
          </w:p>
        </w:tc>
        <w:tc>
          <w:tcPr>
            <w:tcW w:w="135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检验项目</w:t>
            </w:r>
          </w:p>
        </w:tc>
        <w:tc>
          <w:tcPr>
            <w:tcW w:w="161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检验依据</w:t>
            </w:r>
          </w:p>
        </w:tc>
        <w:tc>
          <w:tcPr>
            <w:tcW w:w="161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1</w:t>
            </w:r>
          </w:p>
        </w:tc>
        <w:tc>
          <w:tcPr>
            <w:tcW w:w="135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锁舌轴向静载荷</w:t>
            </w:r>
          </w:p>
        </w:tc>
        <w:tc>
          <w:tcPr>
            <w:tcW w:w="161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2</w:t>
            </w:r>
          </w:p>
        </w:tc>
        <w:tc>
          <w:tcPr>
            <w:tcW w:w="135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锁舌侧向静载荷</w:t>
            </w:r>
          </w:p>
        </w:tc>
        <w:tc>
          <w:tcPr>
            <w:tcW w:w="161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3</w:t>
            </w:r>
          </w:p>
        </w:tc>
        <w:tc>
          <w:tcPr>
            <w:tcW w:w="135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手动操作件静压力及扭矩</w:t>
            </w:r>
          </w:p>
        </w:tc>
        <w:tc>
          <w:tcPr>
            <w:tcW w:w="1619"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4</w:t>
            </w:r>
          </w:p>
        </w:tc>
        <w:tc>
          <w:tcPr>
            <w:tcW w:w="135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rPr>
              <w:t>安全性要求(过压运行、阻燃)</w:t>
            </w:r>
          </w:p>
        </w:tc>
        <w:tc>
          <w:tcPr>
            <w:tcW w:w="1619"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zh-CN" w:bidi="ar-SA"/>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r>
              <w:rPr>
                <w:rFonts w:hint="default" w:ascii="Times New Roman" w:hAnsi="Times New Roman" w:eastAsia="宋体" w:cs="Times New Roman"/>
                <w:color w:val="000000"/>
                <w:sz w:val="21"/>
                <w:szCs w:val="21"/>
                <w:highlight w:val="none"/>
                <w:lang w:val="en-US" w:eastAsia="zh-CN"/>
              </w:rPr>
              <w:t xml:space="preserve"> </w:t>
            </w:r>
          </w:p>
        </w:tc>
        <w:tc>
          <w:tcPr>
            <w:tcW w:w="161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5</w:t>
            </w:r>
          </w:p>
        </w:tc>
        <w:tc>
          <w:tcPr>
            <w:tcW w:w="135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电源性能(电池容量</w:t>
            </w:r>
            <w:r>
              <w:rPr>
                <w:rFonts w:hint="default" w:ascii="Times New Roman" w:hAnsi="Times New Roman" w:eastAsia="宋体" w:cs="Times New Roman"/>
                <w:color w:val="000000"/>
                <w:sz w:val="21"/>
                <w:szCs w:val="21"/>
                <w:highlight w:val="none"/>
                <w:lang w:eastAsia="zh-CN"/>
              </w:rPr>
              <w:t>、</w:t>
            </w:r>
            <w:r>
              <w:rPr>
                <w:rFonts w:hint="default" w:ascii="Times New Roman" w:hAnsi="Times New Roman" w:eastAsia="宋体" w:cs="Times New Roman"/>
                <w:color w:val="000000"/>
                <w:sz w:val="21"/>
                <w:szCs w:val="21"/>
                <w:highlight w:val="none"/>
              </w:rPr>
              <w:t>欠压与电源适应性)</w:t>
            </w:r>
          </w:p>
        </w:tc>
        <w:tc>
          <w:tcPr>
            <w:tcW w:w="161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6</w:t>
            </w:r>
          </w:p>
        </w:tc>
        <w:tc>
          <w:tcPr>
            <w:tcW w:w="135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lang w:val="en-US" w:eastAsia="zh-CN"/>
              </w:rPr>
              <w:t>信</w:t>
            </w:r>
            <w:r>
              <w:rPr>
                <w:rFonts w:hint="default" w:ascii="Times New Roman" w:hAnsi="Times New Roman" w:eastAsia="宋体" w:cs="Times New Roman"/>
                <w:color w:val="000000"/>
                <w:sz w:val="21"/>
                <w:szCs w:val="21"/>
                <w:highlight w:val="none"/>
              </w:rPr>
              <w:t>息保存及误识率</w:t>
            </w:r>
          </w:p>
        </w:tc>
        <w:tc>
          <w:tcPr>
            <w:tcW w:w="161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7</w:t>
            </w:r>
          </w:p>
        </w:tc>
        <w:tc>
          <w:tcPr>
            <w:tcW w:w="135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防破坏报警功能</w:t>
            </w:r>
          </w:p>
        </w:tc>
        <w:tc>
          <w:tcPr>
            <w:tcW w:w="161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kern w:val="2"/>
                <w:sz w:val="21"/>
                <w:szCs w:val="21"/>
                <w:highlight w:val="none"/>
                <w:lang w:val="en-US" w:eastAsia="zh-CN" w:bidi="ar-SA"/>
              </w:rPr>
            </w:pPr>
            <w:r>
              <w:rPr>
                <w:rFonts w:hint="default" w:ascii="Times New Roman" w:hAnsi="Times New Roman" w:eastAsia="宋体" w:cs="Times New Roman"/>
                <w:color w:val="000000"/>
                <w:sz w:val="21"/>
                <w:szCs w:val="21"/>
                <w:highlight w:val="none"/>
              </w:rPr>
              <w:t>8</w:t>
            </w:r>
          </w:p>
        </w:tc>
        <w:tc>
          <w:tcPr>
            <w:tcW w:w="135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环境适应性(高温、低温)</w:t>
            </w:r>
          </w:p>
        </w:tc>
        <w:tc>
          <w:tcPr>
            <w:tcW w:w="1619"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c>
          <w:tcPr>
            <w:tcW w:w="161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GB 21556</w:t>
            </w:r>
            <w:r>
              <w:rPr>
                <w:rFonts w:hint="default" w:ascii="Times New Roman" w:hAnsi="Times New Roman" w:eastAsia="宋体" w:cs="Times New Roman"/>
                <w:sz w:val="21"/>
                <w:szCs w:val="21"/>
                <w:highlight w:val="none"/>
              </w:rPr>
              <w:t>—</w:t>
            </w:r>
            <w:r>
              <w:rPr>
                <w:rFonts w:hint="default" w:ascii="Times New Roman" w:hAnsi="Times New Roman" w:eastAsia="宋体" w:cs="Times New Roman"/>
                <w:color w:val="000000"/>
                <w:sz w:val="21"/>
                <w:szCs w:val="21"/>
                <w:highlight w:val="none"/>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03"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备注</w:t>
            </w:r>
          </w:p>
        </w:tc>
        <w:tc>
          <w:tcPr>
            <w:tcW w:w="4596" w:type="pct"/>
            <w:gridSpan w:val="3"/>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both"/>
              <w:textAlignment w:val="baseline"/>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highlight w:val="none"/>
                <w:lang w:val="en-US" w:eastAsia="zh-CN"/>
                <w14:textFill>
                  <w14:solidFill>
                    <w14:schemeClr w14:val="tx1"/>
                  </w14:solidFill>
                </w14:textFill>
              </w:rPr>
              <w:t>锁舌测试破坏的话，不需要做防破坏报警项目。</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表2</w:t>
      </w:r>
      <w:r>
        <w:rPr>
          <w:rFonts w:hint="default" w:ascii="Times New Roman" w:hAnsi="Times New Roman" w:eastAsia="宋体" w:cs="Times New Roman"/>
          <w:color w:val="000000"/>
          <w:sz w:val="21"/>
          <w:szCs w:val="21"/>
          <w:highlight w:val="none"/>
          <w:lang w:val="en-US" w:eastAsia="zh-CN"/>
        </w:rPr>
        <w:t xml:space="preserve"> </w:t>
      </w:r>
      <w:r>
        <w:rPr>
          <w:rFonts w:hint="default" w:ascii="Times New Roman" w:hAnsi="Times New Roman" w:eastAsia="宋体" w:cs="Times New Roman"/>
          <w:color w:val="000000"/>
          <w:sz w:val="21"/>
          <w:szCs w:val="21"/>
          <w:highlight w:val="none"/>
        </w:rPr>
        <w:t>电子门锁（GA 374—2019）</w:t>
      </w:r>
    </w:p>
    <w:tbl>
      <w:tblPr>
        <w:tblStyle w:val="6"/>
        <w:tblW w:w="501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2342"/>
        <w:gridCol w:w="2732"/>
        <w:gridCol w:w="2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序号</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检验项目</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lang w:val="en-US" w:eastAsia="zh-CN"/>
              </w:rPr>
              <w:t>检验依据</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主锁舌抗轴向静压力</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2</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主锁舌抗侧向静压力</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3</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手动部件强度</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4</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阻燃</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zh-CN" w:bidi="ar-SA"/>
              </w:rPr>
            </w:pPr>
            <w:r>
              <w:rPr>
                <w:rFonts w:hint="default" w:ascii="Times New Roman" w:hAnsi="Times New Roman" w:eastAsia="宋体" w:cs="Times New Roman"/>
                <w:color w:val="000000"/>
                <w:sz w:val="21"/>
                <w:szCs w:val="21"/>
                <w:highlight w:val="none"/>
                <w:lang w:val="en-US" w:eastAsia="zh-CN"/>
              </w:rPr>
              <w:t xml:space="preserve">GB 16796-2009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5</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供电方式</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6</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电池容量</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7</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欠压指示</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8</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rPr>
              <w:t>电源</w:t>
            </w:r>
            <w:r>
              <w:rPr>
                <w:rFonts w:hint="default" w:ascii="Times New Roman" w:hAnsi="Times New Roman" w:eastAsia="宋体" w:cs="Times New Roman"/>
                <w:color w:val="000000"/>
                <w:sz w:val="21"/>
                <w:szCs w:val="21"/>
                <w:highlight w:val="none"/>
                <w:lang w:val="en-US" w:eastAsia="zh-CN"/>
              </w:rPr>
              <w:t>电压</w:t>
            </w:r>
            <w:r>
              <w:rPr>
                <w:rFonts w:hint="default" w:ascii="Times New Roman" w:hAnsi="Times New Roman" w:eastAsia="宋体" w:cs="Times New Roman"/>
                <w:color w:val="000000"/>
                <w:sz w:val="21"/>
                <w:szCs w:val="21"/>
                <w:highlight w:val="none"/>
              </w:rPr>
              <w:t>适应</w:t>
            </w:r>
            <w:r>
              <w:rPr>
                <w:rFonts w:hint="default" w:ascii="Times New Roman" w:hAnsi="Times New Roman" w:eastAsia="宋体" w:cs="Times New Roman"/>
                <w:color w:val="000000"/>
                <w:sz w:val="21"/>
                <w:szCs w:val="21"/>
                <w:highlight w:val="none"/>
                <w:lang w:val="en-US" w:eastAsia="zh-CN"/>
              </w:rPr>
              <w:t>范围</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val="en-US" w:eastAsia="zh-CN"/>
              </w:rPr>
              <w:t>9</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信息保存</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10</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输入错误报警</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11</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防拆报警</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snapToGrid w:val="0"/>
                <w:color w:val="000000"/>
                <w:kern w:val="0"/>
                <w:sz w:val="21"/>
                <w:szCs w:val="21"/>
                <w:highlight w:val="none"/>
                <w:lang w:val="en-US" w:eastAsia="en-US" w:bidi="ar-SA"/>
              </w:rPr>
            </w:pPr>
            <w:r>
              <w:rPr>
                <w:rFonts w:hint="default" w:ascii="Times New Roman" w:hAnsi="Times New Roman" w:eastAsia="宋体" w:cs="Times New Roman"/>
                <w:color w:val="000000"/>
                <w:sz w:val="21"/>
                <w:szCs w:val="21"/>
                <w:highlight w:val="none"/>
              </w:rPr>
              <w:t>GA 374—2019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12</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高温</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GB/T 2423.2-2008</w:t>
            </w:r>
          </w:p>
          <w:p>
            <w:pPr>
              <w:pStyle w:val="2"/>
              <w:ind w:left="0" w:leftChars="0" w:right="420" w:rightChars="200" w:firstLine="0" w:firstLineChars="0"/>
              <w:jc w:val="center"/>
              <w:rPr>
                <w:rFonts w:hint="default" w:ascii="Times New Roman" w:hAnsi="Times New Roman" w:eastAsia="宋体" w:cs="Times New Roman"/>
                <w:snapToGrid w:val="0"/>
                <w:color w:val="000000"/>
                <w:kern w:val="0"/>
                <w:sz w:val="21"/>
                <w:szCs w:val="24"/>
                <w:lang w:val="en-US" w:eastAsia="en-US" w:bidi="ar-SA"/>
              </w:rPr>
            </w:pPr>
            <w:r>
              <w:rPr>
                <w:rFonts w:hint="default" w:ascii="Times New Roman" w:hAnsi="Times New Roman" w:eastAsia="宋体" w:cs="Times New Roman"/>
                <w:color w:val="000000"/>
                <w:sz w:val="21"/>
                <w:szCs w:val="21"/>
                <w:highlight w:val="none"/>
              </w:rPr>
              <w:t>GA 374</w:t>
            </w:r>
            <w:r>
              <w:rPr>
                <w:rFonts w:hint="default" w:ascii="Times New Roman" w:hAnsi="Times New Roman" w:cs="Times New Roman"/>
                <w:color w:val="000000"/>
                <w:sz w:val="21"/>
                <w:szCs w:val="21"/>
                <w:highlight w:val="none"/>
                <w:lang w:val="en-US" w:eastAsia="zh-CN"/>
              </w:rPr>
              <w:t>-</w:t>
            </w:r>
            <w:r>
              <w:rPr>
                <w:rFonts w:hint="default" w:ascii="Times New Roman" w:hAnsi="Times New Roman" w:eastAsia="宋体" w:cs="Times New Roman"/>
                <w:color w:val="000000"/>
                <w:sz w:val="21"/>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13</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低</w:t>
            </w:r>
            <w:r>
              <w:rPr>
                <w:rFonts w:hint="default" w:ascii="Times New Roman" w:hAnsi="Times New Roman" w:eastAsia="宋体" w:cs="Times New Roman"/>
                <w:color w:val="000000"/>
                <w:sz w:val="21"/>
                <w:szCs w:val="21"/>
                <w:highlight w:val="none"/>
                <w:lang w:val="en-US" w:eastAsia="zh-CN"/>
              </w:rPr>
              <w:t>温</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GB/T 2423.1-2008</w:t>
            </w:r>
          </w:p>
          <w:p>
            <w:pPr>
              <w:pStyle w:val="2"/>
              <w:tabs>
                <w:tab w:val="left" w:pos="1900"/>
              </w:tabs>
              <w:ind w:left="0" w:leftChars="0" w:right="218" w:rightChars="104" w:firstLine="0" w:firstLineChars="0"/>
              <w:jc w:val="center"/>
              <w:rPr>
                <w:rFonts w:hint="default" w:ascii="Times New Roman" w:hAnsi="Times New Roman" w:eastAsia="宋体" w:cs="Times New Roman"/>
                <w:snapToGrid w:val="0"/>
                <w:color w:val="000000"/>
                <w:kern w:val="0"/>
                <w:sz w:val="21"/>
                <w:szCs w:val="24"/>
                <w:lang w:val="en-US" w:eastAsia="zh-CN" w:bidi="ar-SA"/>
              </w:rPr>
            </w:pPr>
            <w:r>
              <w:rPr>
                <w:rFonts w:hint="default" w:ascii="Times New Roman" w:hAnsi="Times New Roman" w:eastAsia="宋体" w:cs="Times New Roman"/>
                <w:color w:val="000000"/>
                <w:sz w:val="21"/>
                <w:szCs w:val="21"/>
                <w:highlight w:val="none"/>
              </w:rPr>
              <w:t>GA 374</w:t>
            </w:r>
            <w:r>
              <w:rPr>
                <w:rFonts w:hint="default" w:ascii="Times New Roman" w:hAnsi="Times New Roman" w:cs="Times New Roman"/>
                <w:color w:val="000000"/>
                <w:sz w:val="21"/>
                <w:szCs w:val="21"/>
                <w:highlight w:val="none"/>
                <w:lang w:val="en-US" w:eastAsia="zh-CN"/>
              </w:rPr>
              <w:t>-</w:t>
            </w:r>
            <w:r>
              <w:rPr>
                <w:rFonts w:hint="default" w:ascii="Times New Roman" w:hAnsi="Times New Roman" w:eastAsia="宋体" w:cs="Times New Roman"/>
                <w:color w:val="000000"/>
                <w:sz w:val="21"/>
                <w:szCs w:val="21"/>
                <w:highlight w:val="none"/>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06"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14</w:t>
            </w:r>
          </w:p>
        </w:tc>
        <w:tc>
          <w:tcPr>
            <w:tcW w:w="1370"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恒定湿热</w:t>
            </w:r>
          </w:p>
        </w:tc>
        <w:tc>
          <w:tcPr>
            <w:tcW w:w="1598" w:type="pct"/>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leftChars="0" w:right="0" w:rightChars="0"/>
              <w:jc w:val="center"/>
              <w:textAlignment w:val="baseline"/>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GA 374—2019</w:t>
            </w:r>
          </w:p>
        </w:tc>
        <w:tc>
          <w:tcPr>
            <w:tcW w:w="1624" w:type="pct"/>
            <w:shd w:val="clear" w:color="auto" w:fill="auto"/>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300" w:lineRule="auto"/>
              <w:ind w:left="0" w:right="0"/>
              <w:jc w:val="center"/>
              <w:textAlignment w:val="baseline"/>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GB/T 2423.3-2016</w:t>
            </w:r>
          </w:p>
          <w:p>
            <w:pPr>
              <w:pStyle w:val="2"/>
              <w:ind w:left="0" w:leftChars="0" w:right="439" w:rightChars="209" w:firstLine="0" w:firstLineChars="0"/>
              <w:jc w:val="center"/>
              <w:rPr>
                <w:rFonts w:hint="default" w:ascii="Times New Roman" w:hAnsi="Times New Roman" w:eastAsia="宋体" w:cs="Times New Roman"/>
                <w:snapToGrid w:val="0"/>
                <w:color w:val="000000"/>
                <w:kern w:val="0"/>
                <w:sz w:val="21"/>
                <w:szCs w:val="24"/>
                <w:lang w:val="en-US" w:eastAsia="en-US" w:bidi="ar-SA"/>
              </w:rPr>
            </w:pPr>
            <w:r>
              <w:rPr>
                <w:rFonts w:hint="default" w:ascii="Times New Roman" w:hAnsi="Times New Roman" w:eastAsia="宋体" w:cs="Times New Roman"/>
                <w:color w:val="000000"/>
                <w:sz w:val="21"/>
                <w:szCs w:val="21"/>
                <w:highlight w:val="none"/>
              </w:rPr>
              <w:t>GA 374</w:t>
            </w:r>
            <w:r>
              <w:rPr>
                <w:rFonts w:hint="default" w:ascii="Times New Roman" w:hAnsi="Times New Roman" w:cs="Times New Roman"/>
                <w:color w:val="000000"/>
                <w:sz w:val="21"/>
                <w:szCs w:val="21"/>
                <w:highlight w:val="none"/>
                <w:lang w:val="en-US" w:eastAsia="zh-CN"/>
              </w:rPr>
              <w:t>-</w:t>
            </w:r>
            <w:r>
              <w:rPr>
                <w:rFonts w:hint="default" w:ascii="Times New Roman" w:hAnsi="Times New Roman" w:eastAsia="宋体" w:cs="Times New Roman"/>
                <w:color w:val="000000"/>
                <w:sz w:val="21"/>
                <w:szCs w:val="21"/>
                <w:highlight w:val="none"/>
              </w:rPr>
              <w:t>2019</w:t>
            </w:r>
          </w:p>
        </w:tc>
      </w:tr>
    </w:tbl>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lang w:val="en-US" w:eastAsia="zh-CN"/>
        </w:rPr>
      </w:pPr>
      <w:r>
        <w:rPr>
          <w:rFonts w:hint="default" w:ascii="Times New Roman" w:hAnsi="Times New Roman" w:eastAsia="宋体" w:cs="Times New Roman"/>
          <w:spacing w:val="-2"/>
          <w:sz w:val="22"/>
          <w:szCs w:val="22"/>
          <w:highlight w:val="none"/>
          <w:lang w:val="en-US" w:eastAsia="zh-CN"/>
        </w:rPr>
        <w:t>注：要是产品执行标准为</w:t>
      </w:r>
      <w:r>
        <w:rPr>
          <w:rFonts w:hint="default" w:ascii="Times New Roman" w:hAnsi="Times New Roman" w:eastAsia="宋体" w:cs="Times New Roman"/>
          <w:spacing w:val="-2"/>
          <w:sz w:val="22"/>
          <w:szCs w:val="22"/>
          <w:highlight w:val="none"/>
        </w:rPr>
        <w:t>GA 374</w:t>
      </w:r>
      <w:r>
        <w:rPr>
          <w:rFonts w:hint="default" w:ascii="Times New Roman" w:hAnsi="Times New Roman" w:eastAsia="宋体" w:cs="Times New Roman"/>
          <w:spacing w:val="-2"/>
          <w:sz w:val="22"/>
          <w:szCs w:val="22"/>
          <w:highlight w:val="none"/>
        </w:rPr>
        <w:t>—2</w:t>
      </w:r>
      <w:r>
        <w:rPr>
          <w:rFonts w:hint="default" w:ascii="Times New Roman" w:hAnsi="Times New Roman" w:eastAsia="宋体" w:cs="Times New Roman"/>
          <w:spacing w:val="-2"/>
          <w:sz w:val="22"/>
          <w:szCs w:val="22"/>
          <w:highlight w:val="none"/>
        </w:rPr>
        <w:t>019</w:t>
      </w:r>
      <w:r>
        <w:rPr>
          <w:rFonts w:hint="default" w:ascii="Times New Roman" w:hAnsi="Times New Roman" w:eastAsia="宋体" w:cs="Times New Roman"/>
          <w:spacing w:val="-2"/>
          <w:sz w:val="22"/>
          <w:szCs w:val="22"/>
          <w:highlight w:val="none"/>
          <w:lang w:val="en-US" w:eastAsia="zh-CN"/>
        </w:rPr>
        <w:t>和</w:t>
      </w:r>
      <w:r>
        <w:rPr>
          <w:rFonts w:hint="default" w:ascii="Times New Roman" w:hAnsi="Times New Roman" w:eastAsia="宋体" w:cs="Times New Roman"/>
          <w:spacing w:val="-2"/>
          <w:sz w:val="22"/>
          <w:szCs w:val="22"/>
          <w:highlight w:val="none"/>
        </w:rPr>
        <w:t>GB 21556</w:t>
      </w:r>
      <w:r>
        <w:rPr>
          <w:rFonts w:hint="default" w:ascii="Times New Roman" w:hAnsi="Times New Roman" w:eastAsia="宋体" w:cs="Times New Roman"/>
          <w:spacing w:val="-2"/>
          <w:sz w:val="22"/>
          <w:szCs w:val="22"/>
          <w:highlight w:val="none"/>
        </w:rPr>
        <w:t>—</w:t>
      </w:r>
      <w:r>
        <w:rPr>
          <w:rFonts w:hint="default" w:ascii="Times New Roman" w:hAnsi="Times New Roman" w:eastAsia="宋体" w:cs="Times New Roman"/>
          <w:spacing w:val="-2"/>
          <w:sz w:val="22"/>
          <w:szCs w:val="22"/>
          <w:highlight w:val="none"/>
        </w:rPr>
        <w:t>2008</w:t>
      </w:r>
      <w:r>
        <w:rPr>
          <w:rFonts w:hint="default" w:ascii="Times New Roman" w:hAnsi="Times New Roman" w:eastAsia="宋体" w:cs="Times New Roman"/>
          <w:spacing w:val="-2"/>
          <w:sz w:val="22"/>
          <w:szCs w:val="22"/>
          <w:highlight w:val="none"/>
          <w:lang w:val="en-US" w:eastAsia="zh-CN"/>
        </w:rPr>
        <w:t>可随机选取其中一个标准进行试验即可。</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执行企业标准、团体标准、地方标准的产品，检验项目参照上述内容执行。</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凡是注日期的文件，其随后所有的修改单（不包括勘误的内容）或修订版不适用于本细则。凡是不注日期的文件，其最新版本适用于本细则。</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default" w:ascii="Times New Roman" w:hAnsi="Times New Roman" w:eastAsia="宋体" w:cs="Times New Roman"/>
          <w:spacing w:val="-2"/>
          <w:sz w:val="22"/>
          <w:szCs w:val="22"/>
          <w:highlight w:val="none"/>
        </w:rPr>
      </w:pPr>
    </w:p>
    <w:p>
      <w:pPr>
        <w:widowControl w:val="0"/>
        <w:kinsoku/>
        <w:autoSpaceDE/>
        <w:autoSpaceDN/>
        <w:adjustRightInd/>
        <w:snapToGrid/>
        <w:spacing w:before="156" w:beforeLines="50" w:line="360" w:lineRule="auto"/>
        <w:jc w:val="both"/>
        <w:textAlignment w:val="auto"/>
        <w:rPr>
          <w:rFonts w:hint="default" w:ascii="Times New Roman" w:hAnsi="Times New Roman" w:eastAsia="仿宋" w:cs="Times New Roman"/>
          <w:b/>
          <w:snapToGrid/>
          <w:kern w:val="2"/>
          <w:sz w:val="24"/>
          <w:szCs w:val="24"/>
          <w:lang w:eastAsia="zh-CN"/>
        </w:rPr>
      </w:pPr>
      <w:r>
        <w:rPr>
          <w:rFonts w:hint="default" w:ascii="Times New Roman" w:hAnsi="Times New Roman" w:eastAsia="仿宋" w:cs="Times New Roman"/>
          <w:b/>
          <w:snapToGrid/>
          <w:kern w:val="2"/>
          <w:sz w:val="24"/>
          <w:szCs w:val="24"/>
          <w:lang w:eastAsia="zh-CN"/>
        </w:rPr>
        <w:t>3 判定规则</w:t>
      </w:r>
    </w:p>
    <w:p>
      <w:pPr>
        <w:widowControl w:val="0"/>
        <w:kinsoku/>
        <w:autoSpaceDE/>
        <w:autoSpaceDN/>
        <w:adjustRightInd/>
        <w:snapToGrid w:val="0"/>
        <w:spacing w:line="440" w:lineRule="exact"/>
        <w:jc w:val="both"/>
        <w:textAlignment w:val="auto"/>
        <w:rPr>
          <w:rFonts w:hint="default" w:ascii="Times New Roman" w:hAnsi="Times New Roman" w:eastAsia="仿宋" w:cs="Times New Roman"/>
          <w:b/>
          <w:bCs/>
          <w:snapToGrid/>
          <w:color w:val="000000"/>
          <w:kern w:val="2"/>
          <w:szCs w:val="21"/>
          <w:lang w:eastAsia="zh-CN"/>
        </w:rPr>
      </w:pPr>
      <w:r>
        <w:rPr>
          <w:rFonts w:hint="default" w:ascii="Times New Roman" w:hAnsi="Times New Roman" w:eastAsia="仿宋" w:cs="Times New Roman"/>
          <w:b/>
          <w:bCs/>
          <w:snapToGrid/>
          <w:color w:val="000000"/>
          <w:kern w:val="2"/>
          <w:szCs w:val="21"/>
          <w:lang w:eastAsia="zh-CN"/>
        </w:rPr>
        <w:t>3.1 依据标准</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GB 21556—2008 锁具安全通用技术条件</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GA 374—2019 电子防盗锁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现行有效的企业标准、团体标准、地方标准及产品明示质量要求</w:t>
      </w:r>
    </w:p>
    <w:p>
      <w:pPr>
        <w:widowControl w:val="0"/>
        <w:kinsoku/>
        <w:autoSpaceDE/>
        <w:autoSpaceDN/>
        <w:adjustRightInd/>
        <w:snapToGrid w:val="0"/>
        <w:spacing w:line="440" w:lineRule="exact"/>
        <w:jc w:val="both"/>
        <w:textAlignment w:val="auto"/>
        <w:rPr>
          <w:rFonts w:hint="default" w:ascii="Times New Roman" w:hAnsi="Times New Roman" w:eastAsia="仿宋" w:cs="Times New Roman"/>
          <w:b/>
          <w:bCs/>
          <w:snapToGrid/>
          <w:color w:val="000000"/>
          <w:kern w:val="2"/>
          <w:szCs w:val="21"/>
          <w:lang w:eastAsia="zh-CN"/>
        </w:rPr>
      </w:pPr>
      <w:r>
        <w:rPr>
          <w:rFonts w:hint="default" w:ascii="Times New Roman" w:hAnsi="Times New Roman" w:eastAsia="仿宋" w:cs="Times New Roman"/>
          <w:b/>
          <w:bCs/>
          <w:snapToGrid/>
          <w:color w:val="000000"/>
          <w:kern w:val="2"/>
          <w:szCs w:val="21"/>
          <w:lang w:eastAsia="zh-CN"/>
        </w:rPr>
        <w:t>3.2 判定原则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经检验，检验项目全部合格，判定为被抽查产品所检项目未发现不合格；检验项目中任一项或一项以上不合格，判定为被抽查产品不合格。</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若被检产品明示的质量要求高于本细则中检验项目依据的标准要求时，应按被检产品明示的质量要求判定。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若被检产品明示的质量要求低于本细则中检验项目依据的强制性标准要求时，应按照强制性标准要求判定。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若被检产品明示的质量要求低于或包含本细则中检验项目依据的推荐性标准要求时，应以被检产品明示的质量要求判定。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若被检产品明示的质量要求缺少本细则中检验项目依据的强制性标准要求时，应按照强制性标准要求判定。</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jc w:val="both"/>
        <w:textAlignment w:val="baseline"/>
        <w:rPr>
          <w:rFonts w:hint="default" w:ascii="Times New Roman" w:hAnsi="Times New Roman" w:eastAsia="宋体" w:cs="Times New Roman"/>
          <w:spacing w:val="-2"/>
          <w:sz w:val="22"/>
          <w:szCs w:val="22"/>
          <w:highlight w:val="none"/>
        </w:rPr>
      </w:pPr>
      <w:r>
        <w:rPr>
          <w:rFonts w:hint="default" w:ascii="Times New Roman" w:hAnsi="Times New Roman" w:eastAsia="宋体" w:cs="Times New Roman"/>
          <w:spacing w:val="-2"/>
          <w:sz w:val="22"/>
          <w:szCs w:val="22"/>
          <w:highlight w:val="none"/>
        </w:rPr>
        <w:t>若被检产品明示的质量要求缺少本细则中检验项目依据的推荐性标准要求时，该项目不参与判定。</w:t>
      </w:r>
    </w:p>
    <w:sectPr>
      <w:footerReference r:id="rId5" w:type="default"/>
      <w:pgSz w:w="11906" w:h="16839"/>
      <w:pgMar w:top="1440" w:right="1800" w:bottom="1440" w:left="1800" w:header="0" w:footer="118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997"/>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WVhYTExOTI3ZGJhYmUxZWY5OTFjNzM4MDYyZGIyZDUifQ=="/>
  </w:docVars>
  <w:rsids>
    <w:rsidRoot w:val="00000000"/>
    <w:rsid w:val="00F03E98"/>
    <w:rsid w:val="0D662AF9"/>
    <w:rsid w:val="0D9D103F"/>
    <w:rsid w:val="183D36D0"/>
    <w:rsid w:val="184A1334"/>
    <w:rsid w:val="2CB745EA"/>
    <w:rsid w:val="2F4874AE"/>
    <w:rsid w:val="31F47267"/>
    <w:rsid w:val="338E62A6"/>
    <w:rsid w:val="382B67B9"/>
    <w:rsid w:val="3AC145EF"/>
    <w:rsid w:val="3FC01EDD"/>
    <w:rsid w:val="41E255CF"/>
    <w:rsid w:val="4E8116E8"/>
    <w:rsid w:val="4F4D4A2B"/>
    <w:rsid w:val="5E023994"/>
    <w:rsid w:val="66A55805"/>
    <w:rsid w:val="736A6B84"/>
    <w:rsid w:val="74FF07D6"/>
    <w:rsid w:val="7D00132C"/>
    <w:rsid w:val="FF5F68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spacing w:after="120" w:line="240" w:lineRule="auto"/>
      <w:ind w:left="1440" w:leftChars="700" w:right="1440" w:rightChars="700" w:firstLine="0" w:firstLineChars="0"/>
      <w:jc w:val="both"/>
    </w:pPr>
    <w:rPr>
      <w:rFonts w:ascii="Calibri" w:hAnsi="Calibri" w:eastAsia="宋体"/>
      <w:sz w:val="21"/>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454</Words>
  <Characters>624</Characters>
  <TotalTime>1</TotalTime>
  <ScaleCrop>false</ScaleCrop>
  <LinksUpToDate>false</LinksUpToDate>
  <CharactersWithSpaces>657</CharactersWithSpaces>
  <Application>WPS Office_11.8.2.10534_F1E327BC-269C-435d-A152-05C5408002CA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2025-02-25T01:22:00Z</dcterms:created>
  <dc:creator>Windows 用户</dc:creator>
  <cp:lastModifiedBy>朱俊戎</cp:lastModifiedBy>
  <dcterms:modified xsi:type="dcterms:W3CDTF">2025-08-04T14:55:35Z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2025-07-02T16:57:48Z</vt:filetime>
  </property>
  <property fmtid="{D5CDD505-2E9C-101B-9397-08002B2CF9AE}" pid="4" name="KSOProductBuildVer">
    <vt:lpwstr>2052-11.8.2.10534</vt:lpwstr>
  </property>
  <property fmtid="{D5CDD505-2E9C-101B-9397-08002B2CF9AE}" pid="5" name="ICV">
    <vt:lpwstr>B84D5F5392C7469D876A6FCCDE2A835A_13</vt:lpwstr>
  </property>
  <property fmtid="{D5CDD505-2E9C-101B-9397-08002B2CF9AE}" pid="6" name="KSOTemplateDocerSaveRecord">
    <vt:lpwstr>eyJoZGlkIjoiZGE3Mjc4ZWVhMDVmODhhMTY4Mzc3OWE0OTM2OTZlMWYiLCJ1c2VySWQiOiI1OTY3MzQzODcifQ==</vt:lpwstr>
  </property>
</Properties>
</file>