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val="en-US" w:eastAsia="zh-CN"/>
        </w:rPr>
        <w:t>江西省</w:t>
      </w:r>
      <w:r>
        <w:rPr>
          <w:rFonts w:hint="default" w:ascii="Times New Roman" w:hAnsi="Times New Roman" w:eastAsia="仿宋" w:cs="Times New Roman"/>
          <w:b/>
          <w:bCs/>
          <w:color w:val="000000"/>
          <w:sz w:val="44"/>
          <w:szCs w:val="44"/>
          <w:lang w:eastAsia="zh-CN"/>
        </w:rPr>
        <w:t>成套电力开关和控制设备产品质量</w:t>
      </w:r>
      <w:r>
        <w:rPr>
          <w:rFonts w:hint="default" w:ascii="Times New Roman" w:hAnsi="Times New Roman" w:eastAsia="仿宋" w:cs="Times New Roman"/>
          <w:b/>
          <w:bCs/>
          <w:color w:val="000000"/>
          <w:sz w:val="44"/>
          <w:szCs w:val="44"/>
          <w:lang w:val="en-US" w:eastAsia="zh-CN"/>
        </w:rPr>
        <w:t>省级</w:t>
      </w:r>
      <w:r>
        <w:rPr>
          <w:rFonts w:hint="default" w:ascii="Times New Roman" w:hAnsi="Times New Roman" w:eastAsia="仿宋" w:cs="Times New Roman"/>
          <w:b/>
          <w:bCs/>
          <w:color w:val="000000"/>
          <w:sz w:val="44"/>
          <w:szCs w:val="44"/>
          <w:lang w:eastAsia="zh-CN"/>
        </w:rPr>
        <w:t>监督抽查实施细则（202</w:t>
      </w:r>
      <w:r>
        <w:rPr>
          <w:rFonts w:hint="default" w:ascii="Times New Roman" w:hAnsi="Times New Roman" w:eastAsia="仿宋" w:cs="Times New Roman"/>
          <w:b/>
          <w:bCs/>
          <w:color w:val="000000"/>
          <w:sz w:val="44"/>
          <w:szCs w:val="44"/>
          <w:lang w:val="en-US" w:eastAsia="zh-CN"/>
        </w:rPr>
        <w:t>5</w:t>
      </w:r>
      <w:r>
        <w:rPr>
          <w:rFonts w:hint="default" w:ascii="Times New Roman" w:hAnsi="Times New Roman" w:eastAsia="仿宋" w:cs="Times New Roman"/>
          <w:b/>
          <w:bCs/>
          <w:color w:val="000000"/>
          <w:sz w:val="44"/>
          <w:szCs w:val="44"/>
          <w:lang w:eastAsia="zh-CN"/>
        </w:rPr>
        <w:t>年版）</w:t>
      </w:r>
    </w:p>
    <w:p>
      <w:pPr>
        <w:spacing w:line="240" w:lineRule="auto"/>
        <w:jc w:val="center"/>
        <w:rPr>
          <w:rFonts w:hint="default" w:ascii="Times New Roman" w:hAnsi="Times New Roman" w:eastAsia="仿宋" w:cs="Times New Roman"/>
          <w:b/>
          <w:bCs/>
          <w:color w:val="000000"/>
          <w:sz w:val="44"/>
          <w:szCs w:val="44"/>
          <w:lang w:eastAsia="zh-CN"/>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随机数一般可使用随机数表等方法产生。</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每批次产品抽取样品2台，其中1台作为检验样品，1台作为备用样品。</w:t>
      </w:r>
    </w:p>
    <w:p>
      <w:pPr>
        <w:snapToGrid w:val="0"/>
        <w:spacing w:line="440" w:lineRule="exact"/>
        <w:rPr>
          <w:rFonts w:hint="default" w:ascii="Times New Roman" w:hAnsi="Times New Roman" w:cs="Times New Roman"/>
          <w:color w:val="000000"/>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pPr>
        <w:snapToGrid w:val="0"/>
        <w:spacing w:line="440" w:lineRule="exact"/>
        <w:rPr>
          <w:rFonts w:hint="default" w:ascii="Times New Roman" w:hAnsi="Times New Roman" w:cs="Times New Roman"/>
          <w:b/>
          <w:bCs/>
          <w:color w:val="000000"/>
        </w:rPr>
      </w:pP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3405"/>
        <w:gridCol w:w="2127"/>
        <w:gridCol w:w="2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vAlign w:val="center"/>
          </w:tcPr>
          <w:p>
            <w:pPr>
              <w:snapToGrid w:val="0"/>
              <w:spacing w:line="300" w:lineRule="exact"/>
              <w:jc w:val="center"/>
              <w:rPr>
                <w:rFonts w:hint="default" w:ascii="Times New Roman" w:hAnsi="Times New Roman" w:cs="Times New Roman"/>
              </w:rPr>
            </w:pPr>
            <w:r>
              <w:rPr>
                <w:rFonts w:hint="default" w:ascii="Times New Roman" w:hAnsi="Times New Roman" w:cs="Times New Roman"/>
              </w:rPr>
              <w:t>序号</w:t>
            </w:r>
          </w:p>
        </w:tc>
        <w:tc>
          <w:tcPr>
            <w:tcW w:w="1855" w:type="pct"/>
            <w:vAlign w:val="center"/>
          </w:tcPr>
          <w:p>
            <w:pPr>
              <w:snapToGrid w:val="0"/>
              <w:spacing w:line="300" w:lineRule="exact"/>
              <w:jc w:val="center"/>
              <w:rPr>
                <w:rFonts w:hint="default" w:ascii="Times New Roman" w:hAnsi="Times New Roman" w:cs="Times New Roman"/>
              </w:rPr>
            </w:pPr>
            <w:r>
              <w:rPr>
                <w:rFonts w:hint="default" w:ascii="Times New Roman" w:hAnsi="Times New Roman" w:cs="Times New Roman"/>
              </w:rPr>
              <w:t>检验项目</w:t>
            </w:r>
          </w:p>
        </w:tc>
        <w:tc>
          <w:tcPr>
            <w:tcW w:w="1159" w:type="pct"/>
            <w:vAlign w:val="center"/>
          </w:tcPr>
          <w:p>
            <w:pPr>
              <w:snapToGrid w:val="0"/>
              <w:spacing w:line="300" w:lineRule="exact"/>
              <w:jc w:val="center"/>
              <w:rPr>
                <w:rFonts w:hint="default" w:ascii="Times New Roman" w:hAnsi="Times New Roman" w:cs="Times New Roman"/>
              </w:rPr>
            </w:pPr>
            <w:r>
              <w:rPr>
                <w:rFonts w:hint="default" w:ascii="Times New Roman" w:hAnsi="Times New Roman" w:cs="Times New Roman"/>
              </w:rPr>
              <w:t>检验依据</w:t>
            </w:r>
          </w:p>
        </w:tc>
        <w:tc>
          <w:tcPr>
            <w:tcW w:w="1232" w:type="pct"/>
            <w:vAlign w:val="center"/>
          </w:tcPr>
          <w:p>
            <w:pPr>
              <w:snapToGrid w:val="0"/>
              <w:spacing w:line="300" w:lineRule="exact"/>
              <w:jc w:val="center"/>
              <w:rPr>
                <w:rFonts w:hint="default" w:ascii="Times New Roman" w:hAnsi="Times New Roman" w:cs="Times New Roman"/>
              </w:rPr>
            </w:pPr>
            <w:r>
              <w:rPr>
                <w:rFonts w:hint="default" w:ascii="Times New Roman" w:hAnsi="Times New Roman"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1</w:t>
            </w:r>
          </w:p>
        </w:tc>
        <w:tc>
          <w:tcPr>
            <w:tcW w:w="1855"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电气间隙和爬电距离</w:t>
            </w:r>
          </w:p>
        </w:tc>
        <w:tc>
          <w:tcPr>
            <w:tcW w:w="1159"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7251.2-2023</w:t>
            </w:r>
          </w:p>
        </w:tc>
        <w:tc>
          <w:tcPr>
            <w:tcW w:w="1232"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7251.2-2023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2</w:t>
            </w:r>
          </w:p>
        </w:tc>
        <w:tc>
          <w:tcPr>
            <w:tcW w:w="1855"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介电性能</w:t>
            </w:r>
          </w:p>
        </w:tc>
        <w:tc>
          <w:tcPr>
            <w:tcW w:w="2127" w:type="dxa"/>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7251.2-2023</w:t>
            </w:r>
          </w:p>
        </w:tc>
        <w:tc>
          <w:tcPr>
            <w:tcW w:w="2262" w:type="dxa"/>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7251.2-2023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3</w:t>
            </w:r>
          </w:p>
        </w:tc>
        <w:tc>
          <w:tcPr>
            <w:tcW w:w="1855"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布线、操作性能和功能</w:t>
            </w:r>
          </w:p>
        </w:tc>
        <w:tc>
          <w:tcPr>
            <w:tcW w:w="2127" w:type="dxa"/>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7251.2-2023</w:t>
            </w:r>
          </w:p>
        </w:tc>
        <w:tc>
          <w:tcPr>
            <w:tcW w:w="2262" w:type="dxa"/>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7251.2-2023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4</w:t>
            </w:r>
          </w:p>
        </w:tc>
        <w:tc>
          <w:tcPr>
            <w:tcW w:w="1855"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内部电路和连接</w:t>
            </w:r>
          </w:p>
        </w:tc>
        <w:tc>
          <w:tcPr>
            <w:tcW w:w="2127" w:type="dxa"/>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7251.2-2023</w:t>
            </w:r>
          </w:p>
        </w:tc>
        <w:tc>
          <w:tcPr>
            <w:tcW w:w="2262" w:type="dxa"/>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7251.2-2023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5</w:t>
            </w:r>
          </w:p>
        </w:tc>
        <w:tc>
          <w:tcPr>
            <w:tcW w:w="1855"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内装元件的组合</w:t>
            </w:r>
          </w:p>
        </w:tc>
        <w:tc>
          <w:tcPr>
            <w:tcW w:w="2127" w:type="dxa"/>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7251.2-2023</w:t>
            </w:r>
          </w:p>
        </w:tc>
        <w:tc>
          <w:tcPr>
            <w:tcW w:w="2262" w:type="dxa"/>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7251.2-2023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6</w:t>
            </w:r>
          </w:p>
        </w:tc>
        <w:tc>
          <w:tcPr>
            <w:tcW w:w="1855"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外接导线端子</w:t>
            </w:r>
          </w:p>
        </w:tc>
        <w:tc>
          <w:tcPr>
            <w:tcW w:w="2127" w:type="dxa"/>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7251.2-2023</w:t>
            </w:r>
          </w:p>
        </w:tc>
        <w:tc>
          <w:tcPr>
            <w:tcW w:w="2262" w:type="dxa"/>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7251.2-2023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7</w:t>
            </w:r>
          </w:p>
        </w:tc>
        <w:tc>
          <w:tcPr>
            <w:tcW w:w="1855" w:type="pct"/>
            <w:shd w:val="clear" w:color="auto" w:fill="auto"/>
            <w:vAlign w:val="center"/>
          </w:tcPr>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rPr>
              <w:t>电击防护和保护电路完整性</w:t>
            </w:r>
          </w:p>
        </w:tc>
        <w:tc>
          <w:tcPr>
            <w:tcW w:w="2127" w:type="dxa"/>
            <w:shd w:val="clear" w:color="auto" w:fill="auto"/>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rPr>
              <w:t>GB/T 7251.2-2023</w:t>
            </w:r>
          </w:p>
        </w:tc>
        <w:tc>
          <w:tcPr>
            <w:tcW w:w="2262" w:type="dxa"/>
            <w:shd w:val="clear" w:color="auto" w:fill="auto"/>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rPr>
              <w:t>GB/T 7251.2-2023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8</w:t>
            </w:r>
          </w:p>
        </w:tc>
        <w:tc>
          <w:tcPr>
            <w:tcW w:w="1855" w:type="pct"/>
            <w:shd w:val="clear" w:color="auto" w:fill="auto"/>
            <w:vAlign w:val="center"/>
          </w:tcPr>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rPr>
              <w:t>机械操作</w:t>
            </w:r>
          </w:p>
        </w:tc>
        <w:tc>
          <w:tcPr>
            <w:tcW w:w="2127" w:type="dxa"/>
            <w:shd w:val="clear" w:color="auto" w:fill="auto"/>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rPr>
              <w:t>GB/T 7251.2-2023</w:t>
            </w:r>
          </w:p>
        </w:tc>
        <w:tc>
          <w:tcPr>
            <w:tcW w:w="2262" w:type="dxa"/>
            <w:shd w:val="clear" w:color="auto" w:fill="auto"/>
            <w:vAlign w:val="center"/>
          </w:tcPr>
          <w:p>
            <w:pPr>
              <w:adjustRightInd w:val="0"/>
              <w:snapToGrid w:val="0"/>
              <w:spacing w:line="300" w:lineRule="exact"/>
              <w:jc w:val="center"/>
              <w:rPr>
                <w:rFonts w:hint="default" w:ascii="Times New Roman" w:hAnsi="Times New Roman" w:cs="Times New Roman"/>
                <w:color w:val="000000"/>
              </w:rPr>
            </w:pPr>
            <w:r>
              <w:rPr>
                <w:rFonts w:hint="default" w:ascii="Times New Roman" w:hAnsi="Times New Roman" w:cs="Times New Roman"/>
                <w:color w:val="000000"/>
              </w:rPr>
              <w:t>GB/T 7251.1-2023</w:t>
            </w:r>
          </w:p>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rPr>
              <w:t>GB/T 7251.2-2023</w:t>
            </w:r>
          </w:p>
        </w:tc>
      </w:tr>
    </w:tbl>
    <w:p>
      <w:pPr>
        <w:adjustRightInd w:val="0"/>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执行企业标准、团体标准、地方标准的产品，检验项目参照上述内容执行。</w:t>
      </w:r>
    </w:p>
    <w:p>
      <w:pPr>
        <w:snapToGrid w:val="0"/>
        <w:spacing w:line="440" w:lineRule="exact"/>
        <w:ind w:firstLine="359" w:firstLineChars="171"/>
        <w:rPr>
          <w:rFonts w:hint="default" w:ascii="Times New Roman" w:hAnsi="Times New Roman" w:cs="Times New Roman"/>
          <w:color w:val="000000"/>
        </w:rPr>
      </w:pPr>
      <w:r>
        <w:rPr>
          <w:rFonts w:hint="default" w:ascii="Times New Roman" w:hAnsi="Times New Roman" w:cs="Times New Roman"/>
          <w:color w:val="000000"/>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hint="default" w:ascii="Times New Roman" w:hAnsi="Times New Roman" w:cs="Times New Roman"/>
          <w:color w:val="000000"/>
        </w:rPr>
      </w:pPr>
    </w:p>
    <w:p>
      <w:pPr>
        <w:snapToGrid w:val="0"/>
        <w:spacing w:line="440" w:lineRule="exact"/>
        <w:rPr>
          <w:rFonts w:hint="default" w:ascii="Times New Roman" w:hAnsi="Times New Roman" w:cs="Times New Roman"/>
          <w:color w:val="000000"/>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adjustRightInd w:val="0"/>
        <w:snapToGrid w:val="0"/>
        <w:spacing w:line="440" w:lineRule="exact"/>
        <w:ind w:firstLine="420" w:firstLineChars="200"/>
        <w:jc w:val="left"/>
        <w:rPr>
          <w:rFonts w:hint="default" w:ascii="Times New Roman" w:hAnsi="Times New Roman" w:cs="Times New Roman"/>
          <w:kern w:val="0"/>
        </w:rPr>
      </w:pPr>
      <w:r>
        <w:rPr>
          <w:rFonts w:hint="default" w:ascii="Times New Roman" w:hAnsi="Times New Roman" w:cs="Times New Roman"/>
          <w:kern w:val="0"/>
        </w:rPr>
        <w:t>GB/T 7251.1-2023 低压成套开关设备和控制设备 第1部分：总则</w:t>
      </w:r>
    </w:p>
    <w:p>
      <w:pPr>
        <w:adjustRightInd w:val="0"/>
        <w:snapToGrid w:val="0"/>
        <w:spacing w:line="440" w:lineRule="exact"/>
        <w:ind w:firstLine="420" w:firstLineChars="200"/>
        <w:jc w:val="left"/>
        <w:rPr>
          <w:rFonts w:hint="default" w:ascii="Times New Roman" w:hAnsi="Times New Roman" w:cs="Times New Roman"/>
          <w:kern w:val="0"/>
        </w:rPr>
      </w:pPr>
      <w:r>
        <w:rPr>
          <w:rFonts w:hint="default" w:ascii="Times New Roman" w:hAnsi="Times New Roman" w:cs="Times New Roman"/>
          <w:kern w:val="0"/>
        </w:rPr>
        <w:t>GB/T 7251.2-2023 低压成套开关设备和控制设备 第2部分：成套电力开关和控制设备</w:t>
      </w:r>
    </w:p>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bookmarkStart w:id="0" w:name="_GoBack"/>
      <w:r>
        <w:rPr>
          <w:rFonts w:hint="default" w:ascii="Times New Roman" w:hAnsi="Times New Roman" w:eastAsia="仿宋" w:cs="Times New Roman"/>
          <w:b/>
          <w:bCs/>
          <w:color w:val="000000"/>
          <w:szCs w:val="21"/>
        </w:rPr>
        <w:t>3.2判定原则</w:t>
      </w:r>
    </w:p>
    <w:bookmarkEnd w:id="0"/>
    <w:p>
      <w:pPr>
        <w:snapToGrid w:val="0"/>
        <w:spacing w:line="44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rPr>
      </w:pPr>
      <w:r>
        <w:rPr>
          <w:rFonts w:hint="default" w:ascii="Times New Roman" w:hAnsi="Times New Roman" w:cs="Times New Roman"/>
          <w:color w:val="000000"/>
        </w:rPr>
        <w:t>若被检产品明示的质量要求缺少本细则中检验项目依据的推荐性标准要求时，该项目不参与判定。</w:t>
      </w:r>
    </w:p>
    <w:p>
      <w:pPr>
        <w:spacing w:line="440" w:lineRule="exact"/>
        <w:rPr>
          <w:rFonts w:hint="default" w:ascii="Times New Roman" w:hAnsi="Times New Roman" w:cs="Times New Roman"/>
          <w:color w:val="000000"/>
        </w:rPr>
      </w:pPr>
    </w:p>
    <w:sectPr>
      <w:headerReference r:id="rId3" w:type="default"/>
      <w:footerReference r:id="rId4" w:type="default"/>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documentProtection w:enforcement="0"/>
  <w:defaultTabStop w:val="420"/>
  <w:doNotHyphenateCaps/>
  <w:drawingGridVerticalSpacing w:val="156"/>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FkZWI4NmI0NmM3MWNhZDJkNGFjNWRkMWRkZGUwYzYifQ=="/>
    <w:docVar w:name="KSO_WPS_MARK_KEY" w:val="be9e5b62-9993-4019-851d-1b06f87932a9"/>
  </w:docVars>
  <w:rsids>
    <w:rsidRoot w:val="00172A27"/>
    <w:rsid w:val="00027BF3"/>
    <w:rsid w:val="00050AFD"/>
    <w:rsid w:val="00051A44"/>
    <w:rsid w:val="00081CBD"/>
    <w:rsid w:val="000976DE"/>
    <w:rsid w:val="000E33F4"/>
    <w:rsid w:val="000E64EC"/>
    <w:rsid w:val="00123D1C"/>
    <w:rsid w:val="00172A27"/>
    <w:rsid w:val="001809DD"/>
    <w:rsid w:val="002156C2"/>
    <w:rsid w:val="002248FC"/>
    <w:rsid w:val="00232530"/>
    <w:rsid w:val="002420BA"/>
    <w:rsid w:val="00247E6D"/>
    <w:rsid w:val="00253624"/>
    <w:rsid w:val="00257D6A"/>
    <w:rsid w:val="002A4E85"/>
    <w:rsid w:val="002B03F0"/>
    <w:rsid w:val="002D7F8A"/>
    <w:rsid w:val="002E0D1D"/>
    <w:rsid w:val="002E3CBD"/>
    <w:rsid w:val="0031196D"/>
    <w:rsid w:val="00314EA5"/>
    <w:rsid w:val="003203A3"/>
    <w:rsid w:val="00365CBE"/>
    <w:rsid w:val="003A7D30"/>
    <w:rsid w:val="003C388C"/>
    <w:rsid w:val="003D09A1"/>
    <w:rsid w:val="003E45E1"/>
    <w:rsid w:val="003E61BF"/>
    <w:rsid w:val="004104AC"/>
    <w:rsid w:val="00445E86"/>
    <w:rsid w:val="0045434D"/>
    <w:rsid w:val="00474E04"/>
    <w:rsid w:val="004D0C5A"/>
    <w:rsid w:val="004D184C"/>
    <w:rsid w:val="004E1396"/>
    <w:rsid w:val="004E6C21"/>
    <w:rsid w:val="00563EBC"/>
    <w:rsid w:val="005864F2"/>
    <w:rsid w:val="0059130E"/>
    <w:rsid w:val="005A44B2"/>
    <w:rsid w:val="005C747C"/>
    <w:rsid w:val="00623D68"/>
    <w:rsid w:val="006E1171"/>
    <w:rsid w:val="006F0971"/>
    <w:rsid w:val="00706A62"/>
    <w:rsid w:val="0072334C"/>
    <w:rsid w:val="0077429B"/>
    <w:rsid w:val="007A4D3E"/>
    <w:rsid w:val="007B0410"/>
    <w:rsid w:val="00895BEA"/>
    <w:rsid w:val="008A3497"/>
    <w:rsid w:val="00917A54"/>
    <w:rsid w:val="009434D3"/>
    <w:rsid w:val="009B1924"/>
    <w:rsid w:val="00A05840"/>
    <w:rsid w:val="00A23D98"/>
    <w:rsid w:val="00A43553"/>
    <w:rsid w:val="00A8446D"/>
    <w:rsid w:val="00AB0E18"/>
    <w:rsid w:val="00AC5391"/>
    <w:rsid w:val="00B23814"/>
    <w:rsid w:val="00B47D56"/>
    <w:rsid w:val="00B65F23"/>
    <w:rsid w:val="00BA17D1"/>
    <w:rsid w:val="00BF2B8C"/>
    <w:rsid w:val="00C26074"/>
    <w:rsid w:val="00C316B1"/>
    <w:rsid w:val="00C31A89"/>
    <w:rsid w:val="00C83B0A"/>
    <w:rsid w:val="00CA747C"/>
    <w:rsid w:val="00CB336B"/>
    <w:rsid w:val="00CC2FAC"/>
    <w:rsid w:val="00CE1E0C"/>
    <w:rsid w:val="00CE277E"/>
    <w:rsid w:val="00D46665"/>
    <w:rsid w:val="00D56867"/>
    <w:rsid w:val="00D93CCA"/>
    <w:rsid w:val="00DA1EE9"/>
    <w:rsid w:val="00E02A7F"/>
    <w:rsid w:val="00E07880"/>
    <w:rsid w:val="00E232B1"/>
    <w:rsid w:val="00E533E6"/>
    <w:rsid w:val="00E82621"/>
    <w:rsid w:val="00E86657"/>
    <w:rsid w:val="00F66108"/>
    <w:rsid w:val="00F77C9A"/>
    <w:rsid w:val="00F83756"/>
    <w:rsid w:val="00FB576C"/>
    <w:rsid w:val="00FD0705"/>
    <w:rsid w:val="00FD2AA6"/>
    <w:rsid w:val="00FE7E8A"/>
    <w:rsid w:val="00FF2A37"/>
    <w:rsid w:val="02381686"/>
    <w:rsid w:val="1A597193"/>
    <w:rsid w:val="1E851197"/>
    <w:rsid w:val="20971CA1"/>
    <w:rsid w:val="277A0467"/>
    <w:rsid w:val="282959B7"/>
    <w:rsid w:val="3F3C3E41"/>
    <w:rsid w:val="49557320"/>
    <w:rsid w:val="4D3F55DD"/>
    <w:rsid w:val="4FC76963"/>
    <w:rsid w:val="5E586B8F"/>
    <w:rsid w:val="5F0C5656"/>
    <w:rsid w:val="65110712"/>
    <w:rsid w:val="7A1D0398"/>
    <w:rsid w:val="AF56F68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qFormat/>
    <w:uiPriority w:val="99"/>
    <w:pPr>
      <w:jc w:val="left"/>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style>
  <w:style w:type="character" w:styleId="10">
    <w:name w:val="annotation reference"/>
    <w:basedOn w:val="8"/>
    <w:semiHidden/>
    <w:qFormat/>
    <w:uiPriority w:val="99"/>
    <w:rPr>
      <w:sz w:val="21"/>
      <w:szCs w:val="21"/>
    </w:rPr>
  </w:style>
  <w:style w:type="character" w:customStyle="1" w:styleId="11">
    <w:name w:val="Comment Text Char"/>
    <w:basedOn w:val="8"/>
    <w:link w:val="2"/>
    <w:semiHidden/>
    <w:qFormat/>
    <w:locked/>
    <w:uiPriority w:val="99"/>
    <w:rPr>
      <w:kern w:val="2"/>
      <w:sz w:val="24"/>
      <w:szCs w:val="24"/>
    </w:rPr>
  </w:style>
  <w:style w:type="character" w:customStyle="1" w:styleId="12">
    <w:name w:val="Balloon Text Char"/>
    <w:basedOn w:val="8"/>
    <w:link w:val="3"/>
    <w:semiHidden/>
    <w:qFormat/>
    <w:locked/>
    <w:uiPriority w:val="99"/>
    <w:rPr>
      <w:kern w:val="2"/>
      <w:sz w:val="18"/>
      <w:szCs w:val="18"/>
    </w:rPr>
  </w:style>
  <w:style w:type="character" w:customStyle="1" w:styleId="13">
    <w:name w:val="Footer Char"/>
    <w:basedOn w:val="8"/>
    <w:link w:val="4"/>
    <w:qFormat/>
    <w:locked/>
    <w:uiPriority w:val="99"/>
    <w:rPr>
      <w:kern w:val="2"/>
      <w:sz w:val="18"/>
      <w:szCs w:val="18"/>
    </w:rPr>
  </w:style>
  <w:style w:type="character" w:customStyle="1" w:styleId="14">
    <w:name w:val="Header Char"/>
    <w:basedOn w:val="8"/>
    <w:link w:val="5"/>
    <w:semiHidden/>
    <w:qFormat/>
    <w:locked/>
    <w:uiPriority w:val="99"/>
    <w:rPr>
      <w:kern w:val="2"/>
      <w:sz w:val="18"/>
      <w:szCs w:val="18"/>
    </w:rPr>
  </w:style>
  <w:style w:type="character" w:customStyle="1" w:styleId="15">
    <w:name w:val="Comment Subject Char"/>
    <w:basedOn w:val="11"/>
    <w:link w:val="6"/>
    <w:semiHidden/>
    <w:qFormat/>
    <w:locked/>
    <w:uiPriority w:val="99"/>
    <w:rPr>
      <w:b/>
      <w:bCs/>
    </w:rPr>
  </w:style>
  <w:style w:type="paragraph" w:customStyle="1" w:styleId="16">
    <w:name w:val="列出段落1"/>
    <w:basedOn w:val="1"/>
    <w:qFormat/>
    <w:uiPriority w:val="99"/>
    <w:pPr>
      <w:ind w:firstLine="420" w:firstLineChars="200"/>
    </w:pPr>
    <w:rPr>
      <w:rFonts w:ascii="Calibri" w:hAnsi="Calibri" w:cs="Calibri"/>
    </w:rPr>
  </w:style>
  <w:style w:type="paragraph" w:customStyle="1" w:styleId="17">
    <w:name w:val="_Style 16"/>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Legend (Beijing) Limited</Company>
  <Pages>2</Pages>
  <Words>755</Words>
  <Characters>1204</Characters>
  <Lines>0</Lines>
  <Paragraphs>0</Paragraphs>
  <TotalTime>0</TotalTime>
  <ScaleCrop>false</ScaleCrop>
  <LinksUpToDate>false</LinksUpToDate>
  <CharactersWithSpaces>1245</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2024-03-12T09:28:00Z</dcterms:created>
  <dc:creator>Legend User</dc:creator>
  <cp:lastModifiedBy>朱俊戎</cp:lastModifiedBy>
  <cp:lastPrinted>2019-12-05T15:53:00Z</cp:lastPrinted>
  <dcterms:modified xsi:type="dcterms:W3CDTF">2025-08-04T09:47:06Z</dcterms:modified>
  <dc:title>××产品质量监督抽查实施细则</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commondata">
    <vt:lpwstr>eyJoZGlkIjoiNDRmZDlmMjdkNDI1NjEzMmI2Y2M4ZTAxODQ5YmJlMTYifQ==</vt:lpwstr>
  </property>
  <property fmtid="{D5CDD505-2E9C-101B-9397-08002B2CF9AE}" pid="4" name="ICV">
    <vt:lpwstr>B6C4848760294BC1837787401704C615_13</vt:lpwstr>
  </property>
  <property fmtid="{D5CDD505-2E9C-101B-9397-08002B2CF9AE}" pid="5" name="KSOTemplateDocerSaveRecord">
    <vt:lpwstr>eyJoZGlkIjoiMWRkMGY0OGUyMTkyOGY3YzMyMDU2MzE3ZTFmMTI1OGQifQ==</vt:lpwstr>
  </property>
</Properties>
</file>