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江西省塑料一次性餐饮具产品质量省级监督抽查实施细则（2025年版）</w:t>
      </w:r>
    </w:p>
    <w:p>
      <w:pPr>
        <w:spacing w:line="240" w:lineRule="auto"/>
        <w:jc w:val="center"/>
        <w:rPr>
          <w:rFonts w:hint="default" w:ascii="Times New Roman" w:hAnsi="Times New Roman" w:eastAsia="仿宋" w:cs="Times New Roman"/>
          <w:b/>
          <w:bCs/>
          <w:color w:val="000000"/>
          <w:sz w:val="44"/>
          <w:szCs w:val="44"/>
          <w:lang w:eastAsia="zh-CN"/>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随机数一般可使用随机数表、随机数骰子或扑克牌等方法产生。</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抽查样品基数满足抽样数量即可。抽取样品应为同一型号规格、同一批次的产品。</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如存在多个规格型号可以抽取的，应当明确样品抽取的优先原则。优先按以下原则抽取：（1）优先抽取有印刷、颜色较深、生产工艺较复杂的主导产品；（2）优先抽取S/V（表面积体积比）最大的产品（即相同工艺和形状中容积较小的产品）。</w:t>
      </w:r>
    </w:p>
    <w:p>
      <w:pPr>
        <w:keepNext w:val="0"/>
        <w:keepLines w:val="0"/>
        <w:pageBreakBefore w:val="0"/>
        <w:widowControl w:val="0"/>
        <w:kinsoku/>
        <w:wordWrap/>
        <w:overflowPunct/>
        <w:topLinePunct w:val="0"/>
        <w:autoSpaceDE/>
        <w:autoSpaceDN/>
        <w:bidi w:val="0"/>
        <w:adjustRightIn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随机数一般可使用随机数表、骰子或扑克牌等方法产生。抽取样品</w:t>
      </w:r>
      <w:r>
        <w:rPr>
          <w:rFonts w:hint="eastAsia" w:cs="Times New Roman"/>
          <w:lang w:val="en-US" w:eastAsia="zh-CN"/>
        </w:rPr>
        <w:t>8</w:t>
      </w:r>
      <w:r>
        <w:rPr>
          <w:rFonts w:hint="default" w:ascii="Times New Roman" w:hAnsi="Times New Roman" w:cs="Times New Roman"/>
        </w:rPr>
        <w:t>0个，样品分两份独立包装，</w:t>
      </w:r>
      <w:r>
        <w:rPr>
          <w:rFonts w:hint="default" w:ascii="Times New Roman" w:hAnsi="Times New Roman" w:cs="Times New Roman"/>
          <w:lang w:val="en-US" w:eastAsia="zh-CN"/>
        </w:rPr>
        <w:t>其中</w:t>
      </w:r>
      <w:r>
        <w:rPr>
          <w:rFonts w:hint="default" w:ascii="Times New Roman" w:hAnsi="Times New Roman" w:cs="Times New Roman"/>
        </w:rPr>
        <w:t>检验样品</w:t>
      </w:r>
      <w:r>
        <w:rPr>
          <w:rFonts w:hint="eastAsia" w:cs="Times New Roman"/>
          <w:lang w:val="en-US" w:eastAsia="zh-CN"/>
        </w:rPr>
        <w:t>4</w:t>
      </w:r>
      <w:r>
        <w:rPr>
          <w:rFonts w:hint="default" w:ascii="Times New Roman" w:hAnsi="Times New Roman" w:cs="Times New Roman"/>
        </w:rPr>
        <w:t>0个，备用样品</w:t>
      </w:r>
      <w:r>
        <w:rPr>
          <w:rFonts w:hint="eastAsia" w:cs="Times New Roman"/>
          <w:lang w:val="en-US" w:eastAsia="zh-CN"/>
        </w:rPr>
        <w:t>4</w:t>
      </w:r>
      <w:r>
        <w:rPr>
          <w:rFonts w:hint="default" w:ascii="Times New Roman" w:hAnsi="Times New Roman" w:cs="Times New Roman"/>
        </w:rPr>
        <w:t>0个。（若最小销售包装不是40</w:t>
      </w:r>
      <w:r>
        <w:rPr>
          <w:rFonts w:hint="default" w:ascii="Times New Roman" w:hAnsi="Times New Roman" w:cs="Times New Roman"/>
          <w:lang w:val="en-US" w:eastAsia="zh-CN"/>
        </w:rPr>
        <w:t>个</w:t>
      </w:r>
      <w:r>
        <w:rPr>
          <w:rFonts w:hint="default" w:ascii="Times New Roman" w:hAnsi="Times New Roman" w:cs="Times New Roman"/>
        </w:rPr>
        <w:t>的整数倍，需按采样数折算，保证检样不少于</w:t>
      </w:r>
      <w:r>
        <w:rPr>
          <w:rFonts w:hint="eastAsia" w:cs="Times New Roman"/>
          <w:lang w:val="en-US" w:eastAsia="zh-CN"/>
        </w:rPr>
        <w:t>4</w:t>
      </w:r>
      <w:r>
        <w:rPr>
          <w:rFonts w:hint="default" w:ascii="Times New Roman" w:hAnsi="Times New Roman" w:cs="Times New Roman"/>
        </w:rPr>
        <w:t>0</w:t>
      </w:r>
      <w:r>
        <w:rPr>
          <w:rFonts w:hint="default" w:ascii="Times New Roman" w:hAnsi="Times New Roman" w:eastAsia="宋体" w:cs="Times New Roman"/>
          <w:sz w:val="24"/>
        </w:rPr>
        <w:t>个</w:t>
      </w:r>
      <w:r>
        <w:rPr>
          <w:rFonts w:hint="default" w:ascii="Times New Roman" w:hAnsi="Times New Roman" w:cs="Times New Roman"/>
        </w:rPr>
        <w:t>，备样不少于40</w:t>
      </w:r>
      <w:r>
        <w:rPr>
          <w:rFonts w:hint="default" w:ascii="Times New Roman" w:hAnsi="Times New Roman" w:eastAsia="宋体" w:cs="Times New Roman"/>
          <w:sz w:val="24"/>
        </w:rPr>
        <w:t>个</w:t>
      </w:r>
      <w:r>
        <w:rPr>
          <w:rFonts w:hint="default" w:ascii="Times New Roman" w:hAnsi="Times New Roman" w:cs="Times New Roman"/>
        </w:rPr>
        <w:t>，避免打开原包装。）</w:t>
      </w:r>
    </w:p>
    <w:p>
      <w:pPr>
        <w:keepNext w:val="0"/>
        <w:keepLines w:val="0"/>
        <w:pageBreakBefore w:val="0"/>
        <w:widowControl w:val="0"/>
        <w:kinsoku/>
        <w:wordWrap/>
        <w:overflowPunct/>
        <w:topLinePunct w:val="0"/>
        <w:autoSpaceDE/>
        <w:autoSpaceDN/>
        <w:bidi w:val="0"/>
        <w:adjustRightInd w:val="0"/>
        <w:spacing w:line="440" w:lineRule="exact"/>
        <w:ind w:firstLine="420" w:firstLineChars="200"/>
        <w:textAlignment w:val="auto"/>
        <w:rPr>
          <w:rFonts w:hint="default" w:ascii="Times New Roman" w:hAnsi="Times New Roman" w:cs="Times New Roman"/>
          <w:sz w:val="24"/>
        </w:rPr>
      </w:pPr>
      <w:r>
        <w:rPr>
          <w:rFonts w:hint="default" w:ascii="Times New Roman" w:hAnsi="Times New Roman" w:cs="Times New Roman"/>
        </w:rPr>
        <w:t>在满足检验的条件下，产品抽样数量可根据样品的实际大小做适当调整。</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pPr>
        <w:jc w:val="center"/>
        <w:rPr>
          <w:rFonts w:hint="default" w:ascii="Times New Roman" w:hAnsi="Times New Roman" w:cs="Times New Roman"/>
        </w:rPr>
      </w:pPr>
      <w:r>
        <w:rPr>
          <w:rFonts w:hint="default" w:ascii="Times New Roman" w:hAnsi="Times New Roman" w:cs="Times New Roman"/>
        </w:rPr>
        <w:t>表1 塑料一次性餐饮具</w:t>
      </w:r>
    </w:p>
    <w:tbl>
      <w:tblPr>
        <w:tblStyle w:val="8"/>
        <w:tblW w:w="51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2821"/>
        <w:gridCol w:w="2680"/>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4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序号</w:t>
            </w:r>
          </w:p>
        </w:tc>
        <w:tc>
          <w:tcPr>
            <w:tcW w:w="160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检验项目</w:t>
            </w:r>
          </w:p>
        </w:tc>
        <w:tc>
          <w:tcPr>
            <w:tcW w:w="152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检验依据</w:t>
            </w:r>
          </w:p>
        </w:tc>
        <w:tc>
          <w:tcPr>
            <w:tcW w:w="142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1</w:t>
            </w:r>
          </w:p>
        </w:tc>
        <w:tc>
          <w:tcPr>
            <w:tcW w:w="160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感官要求</w:t>
            </w:r>
          </w:p>
        </w:tc>
        <w:tc>
          <w:tcPr>
            <w:tcW w:w="152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sz w:val="21"/>
                <w:szCs w:val="21"/>
                <w:lang w:val="en-US" w:eastAsia="zh-CN"/>
              </w:rPr>
            </w:pPr>
            <w:r>
              <w:rPr>
                <w:rFonts w:hint="default" w:ascii="Times New Roman" w:hAnsi="Times New Roman" w:cs="Times New Roman"/>
                <w:bCs/>
                <w:sz w:val="21"/>
                <w:szCs w:val="21"/>
              </w:rPr>
              <w:t>GB 4806.7-20</w:t>
            </w:r>
            <w:r>
              <w:rPr>
                <w:rFonts w:hint="default" w:ascii="Times New Roman" w:hAnsi="Times New Roman" w:cs="Times New Roman"/>
                <w:bCs/>
                <w:sz w:val="21"/>
                <w:szCs w:val="21"/>
                <w:lang w:val="en-US" w:eastAsia="zh-CN"/>
              </w:rPr>
              <w:t>23</w:t>
            </w:r>
          </w:p>
        </w:tc>
        <w:tc>
          <w:tcPr>
            <w:tcW w:w="142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 4806.7-20</w:t>
            </w:r>
            <w:r>
              <w:rPr>
                <w:rFonts w:hint="default" w:ascii="Times New Roman" w:hAnsi="Times New Roman" w:cs="Times New Roman"/>
                <w:bCs/>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2</w:t>
            </w:r>
          </w:p>
        </w:tc>
        <w:tc>
          <w:tcPr>
            <w:tcW w:w="160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总迁移量</w:t>
            </w:r>
          </w:p>
        </w:tc>
        <w:tc>
          <w:tcPr>
            <w:tcW w:w="152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 4806.7-20</w:t>
            </w:r>
            <w:r>
              <w:rPr>
                <w:rFonts w:hint="default" w:ascii="Times New Roman" w:hAnsi="Times New Roman" w:cs="Times New Roman"/>
                <w:bCs/>
                <w:sz w:val="21"/>
                <w:szCs w:val="21"/>
                <w:lang w:val="en-US" w:eastAsia="zh-CN"/>
              </w:rPr>
              <w:t>23</w:t>
            </w:r>
          </w:p>
        </w:tc>
        <w:tc>
          <w:tcPr>
            <w:tcW w:w="142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3</w:t>
            </w:r>
          </w:p>
        </w:tc>
        <w:tc>
          <w:tcPr>
            <w:tcW w:w="160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高锰酸钾消耗量</w:t>
            </w:r>
          </w:p>
        </w:tc>
        <w:tc>
          <w:tcPr>
            <w:tcW w:w="152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 4806.7-20</w:t>
            </w:r>
            <w:r>
              <w:rPr>
                <w:rFonts w:hint="default" w:ascii="Times New Roman" w:hAnsi="Times New Roman" w:cs="Times New Roman"/>
                <w:bCs/>
                <w:sz w:val="21"/>
                <w:szCs w:val="21"/>
                <w:lang w:val="en-US" w:eastAsia="zh-CN"/>
              </w:rPr>
              <w:t>23</w:t>
            </w:r>
          </w:p>
        </w:tc>
        <w:tc>
          <w:tcPr>
            <w:tcW w:w="142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4</w:t>
            </w:r>
          </w:p>
        </w:tc>
        <w:tc>
          <w:tcPr>
            <w:tcW w:w="160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重金属（以Pb计）</w:t>
            </w:r>
          </w:p>
        </w:tc>
        <w:tc>
          <w:tcPr>
            <w:tcW w:w="152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 4806.7-20</w:t>
            </w:r>
            <w:r>
              <w:rPr>
                <w:rFonts w:hint="default" w:ascii="Times New Roman" w:hAnsi="Times New Roman" w:cs="Times New Roman"/>
                <w:bCs/>
                <w:sz w:val="21"/>
                <w:szCs w:val="21"/>
                <w:lang w:val="en-US" w:eastAsia="zh-CN"/>
              </w:rPr>
              <w:t>23</w:t>
            </w:r>
          </w:p>
        </w:tc>
        <w:tc>
          <w:tcPr>
            <w:tcW w:w="142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5</w:t>
            </w:r>
          </w:p>
        </w:tc>
        <w:tc>
          <w:tcPr>
            <w:tcW w:w="160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脱色试验</w:t>
            </w:r>
          </w:p>
        </w:tc>
        <w:tc>
          <w:tcPr>
            <w:tcW w:w="152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 4806.7-20</w:t>
            </w:r>
            <w:r>
              <w:rPr>
                <w:rFonts w:hint="default" w:ascii="Times New Roman" w:hAnsi="Times New Roman" w:cs="Times New Roman"/>
                <w:bCs/>
                <w:sz w:val="21"/>
                <w:szCs w:val="21"/>
                <w:lang w:val="en-US" w:eastAsia="zh-CN"/>
              </w:rPr>
              <w:t>23</w:t>
            </w:r>
          </w:p>
        </w:tc>
        <w:tc>
          <w:tcPr>
            <w:tcW w:w="142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sz w:val="21"/>
                <w:szCs w:val="21"/>
                <w:lang w:val="en-US" w:eastAsia="zh-CN"/>
              </w:rPr>
            </w:pPr>
            <w:r>
              <w:rPr>
                <w:rFonts w:hint="default" w:ascii="Times New Roman" w:hAnsi="Times New Roman" w:cs="Times New Roman"/>
                <w:bCs/>
                <w:sz w:val="21"/>
                <w:szCs w:val="21"/>
              </w:rPr>
              <w:t>GB 31604.7-20</w:t>
            </w:r>
            <w:r>
              <w:rPr>
                <w:rFonts w:hint="default" w:ascii="Times New Roman" w:hAnsi="Times New Roman" w:cs="Times New Roman"/>
                <w:bCs/>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lang w:val="en-US" w:eastAsia="zh-CN"/>
              </w:rPr>
            </w:pPr>
            <w:r>
              <w:rPr>
                <w:rFonts w:hint="default" w:ascii="Times New Roman" w:hAnsi="Times New Roman" w:cs="Times New Roman"/>
                <w:bCs/>
                <w:sz w:val="21"/>
                <w:szCs w:val="21"/>
                <w:lang w:val="en-US" w:eastAsia="zh-CN"/>
              </w:rPr>
              <w:t>6</w:t>
            </w:r>
          </w:p>
        </w:tc>
        <w:tc>
          <w:tcPr>
            <w:tcW w:w="160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sz w:val="21"/>
                <w:szCs w:val="21"/>
              </w:rPr>
              <w:t>芳香族伯胺迁移总量</w:t>
            </w:r>
          </w:p>
        </w:tc>
        <w:tc>
          <w:tcPr>
            <w:tcW w:w="152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bCs/>
                <w:sz w:val="21"/>
                <w:szCs w:val="21"/>
              </w:rPr>
              <w:t>GB 4806.7-20</w:t>
            </w:r>
            <w:r>
              <w:rPr>
                <w:rFonts w:hint="default" w:ascii="Times New Roman" w:hAnsi="Times New Roman" w:cs="Times New Roman"/>
                <w:bCs/>
                <w:sz w:val="21"/>
                <w:szCs w:val="21"/>
                <w:lang w:val="en-US" w:eastAsia="zh-CN"/>
              </w:rPr>
              <w:t>23</w:t>
            </w:r>
          </w:p>
        </w:tc>
        <w:tc>
          <w:tcPr>
            <w:tcW w:w="142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bCs/>
                <w:sz w:val="21"/>
                <w:szCs w:val="21"/>
              </w:rPr>
              <w:t>GB 31604.52-2021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bCs/>
                <w:kern w:val="2"/>
                <w:sz w:val="21"/>
                <w:szCs w:val="21"/>
                <w:lang w:val="en-US" w:eastAsia="zh-CN" w:bidi="ar-SA"/>
              </w:rPr>
              <w:t>7</w:t>
            </w:r>
          </w:p>
        </w:tc>
        <w:tc>
          <w:tcPr>
            <w:tcW w:w="160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跌落性能</w:t>
            </w:r>
          </w:p>
        </w:tc>
        <w:tc>
          <w:tcPr>
            <w:tcW w:w="152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GB/T</w:t>
            </w:r>
            <w:r>
              <w:rPr>
                <w:rFonts w:hint="default" w:ascii="Times New Roman" w:hAnsi="Times New Roman" w:cs="Times New Roman"/>
                <w:bCs/>
                <w:sz w:val="21"/>
                <w:szCs w:val="21"/>
                <w:lang w:val="en-US" w:eastAsia="zh-CN"/>
              </w:rPr>
              <w:t xml:space="preserve"> </w:t>
            </w:r>
            <w:r>
              <w:rPr>
                <w:rFonts w:hint="default" w:ascii="Times New Roman" w:hAnsi="Times New Roman" w:cs="Times New Roman"/>
                <w:bCs/>
                <w:sz w:val="21"/>
                <w:szCs w:val="21"/>
              </w:rPr>
              <w:t>18006.1-2009</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lang w:val="en-US" w:eastAsia="zh-CN"/>
              </w:rPr>
              <w:t>或</w:t>
            </w:r>
            <w:r>
              <w:rPr>
                <w:rFonts w:hint="default" w:ascii="Times New Roman" w:hAnsi="Times New Roman" w:cs="Times New Roman"/>
                <w:bCs/>
                <w:sz w:val="21"/>
                <w:szCs w:val="21"/>
              </w:rPr>
              <w:t>产品明示标准</w:t>
            </w:r>
          </w:p>
        </w:tc>
        <w:tc>
          <w:tcPr>
            <w:tcW w:w="142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GB/T 18006.1-2009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bCs/>
                <w:kern w:val="2"/>
                <w:sz w:val="21"/>
                <w:szCs w:val="21"/>
                <w:lang w:val="en-US" w:eastAsia="zh-CN" w:bidi="ar-SA"/>
              </w:rPr>
              <w:t>8</w:t>
            </w:r>
          </w:p>
        </w:tc>
        <w:tc>
          <w:tcPr>
            <w:tcW w:w="160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耐温性能</w:t>
            </w:r>
          </w:p>
        </w:tc>
        <w:tc>
          <w:tcPr>
            <w:tcW w:w="152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GB/T</w:t>
            </w:r>
            <w:r>
              <w:rPr>
                <w:rFonts w:hint="default" w:ascii="Times New Roman" w:hAnsi="Times New Roman" w:cs="Times New Roman"/>
                <w:bCs/>
                <w:sz w:val="21"/>
                <w:szCs w:val="21"/>
                <w:lang w:val="en-US" w:eastAsia="zh-CN"/>
              </w:rPr>
              <w:t xml:space="preserve"> </w:t>
            </w:r>
            <w:r>
              <w:rPr>
                <w:rFonts w:hint="default" w:ascii="Times New Roman" w:hAnsi="Times New Roman" w:cs="Times New Roman"/>
                <w:bCs/>
                <w:sz w:val="21"/>
                <w:szCs w:val="21"/>
              </w:rPr>
              <w:t>18006.1-2009</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lang w:val="en-US" w:eastAsia="zh-CN"/>
              </w:rPr>
              <w:t>或</w:t>
            </w:r>
            <w:r>
              <w:rPr>
                <w:rFonts w:hint="default" w:ascii="Times New Roman" w:hAnsi="Times New Roman" w:cs="Times New Roman"/>
                <w:bCs/>
                <w:sz w:val="21"/>
                <w:szCs w:val="21"/>
              </w:rPr>
              <w:t>产品明示标准</w:t>
            </w:r>
          </w:p>
        </w:tc>
        <w:tc>
          <w:tcPr>
            <w:tcW w:w="142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GB/T 18006.1-2009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bCs/>
                <w:kern w:val="2"/>
                <w:sz w:val="21"/>
                <w:szCs w:val="21"/>
                <w:lang w:val="en-US" w:eastAsia="zh-CN" w:bidi="ar-SA"/>
              </w:rPr>
              <w:t>9</w:t>
            </w:r>
          </w:p>
        </w:tc>
        <w:tc>
          <w:tcPr>
            <w:tcW w:w="160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负重性能</w:t>
            </w:r>
          </w:p>
        </w:tc>
        <w:tc>
          <w:tcPr>
            <w:tcW w:w="152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GB/T</w:t>
            </w:r>
            <w:r>
              <w:rPr>
                <w:rFonts w:hint="default" w:ascii="Times New Roman" w:hAnsi="Times New Roman" w:cs="Times New Roman"/>
                <w:bCs/>
                <w:sz w:val="21"/>
                <w:szCs w:val="21"/>
                <w:lang w:val="en-US" w:eastAsia="zh-CN"/>
              </w:rPr>
              <w:t xml:space="preserve"> </w:t>
            </w:r>
            <w:r>
              <w:rPr>
                <w:rFonts w:hint="default" w:ascii="Times New Roman" w:hAnsi="Times New Roman" w:cs="Times New Roman"/>
                <w:bCs/>
                <w:sz w:val="21"/>
                <w:szCs w:val="21"/>
              </w:rPr>
              <w:t>18006.1-2009</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lang w:val="en-US" w:eastAsia="zh-CN"/>
              </w:rPr>
              <w:t>或</w:t>
            </w:r>
            <w:r>
              <w:rPr>
                <w:rFonts w:hint="default" w:ascii="Times New Roman" w:hAnsi="Times New Roman" w:cs="Times New Roman"/>
                <w:bCs/>
                <w:sz w:val="21"/>
                <w:szCs w:val="21"/>
              </w:rPr>
              <w:t>产品明示标准</w:t>
            </w:r>
          </w:p>
        </w:tc>
        <w:tc>
          <w:tcPr>
            <w:tcW w:w="142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GB/T 18006.1-2009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Cs/>
                <w:sz w:val="21"/>
                <w:szCs w:val="21"/>
                <w:lang w:val="en-US" w:eastAsia="zh-CN"/>
              </w:rPr>
            </w:pPr>
            <w:r>
              <w:rPr>
                <w:rFonts w:hint="default" w:ascii="Times New Roman" w:hAnsi="Times New Roman" w:cs="Times New Roman"/>
                <w:bCs/>
                <w:sz w:val="21"/>
                <w:szCs w:val="21"/>
                <w:lang w:val="en-US" w:eastAsia="zh-CN"/>
              </w:rPr>
              <w:t>10</w:t>
            </w:r>
          </w:p>
        </w:tc>
        <w:tc>
          <w:tcPr>
            <w:tcW w:w="160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漏水性</w:t>
            </w:r>
          </w:p>
        </w:tc>
        <w:tc>
          <w:tcPr>
            <w:tcW w:w="1525"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GB/T</w:t>
            </w:r>
            <w:r>
              <w:rPr>
                <w:rFonts w:hint="default" w:ascii="Times New Roman" w:hAnsi="Times New Roman" w:cs="Times New Roman"/>
                <w:bCs/>
                <w:sz w:val="21"/>
                <w:szCs w:val="21"/>
                <w:lang w:val="en-US" w:eastAsia="zh-CN"/>
              </w:rPr>
              <w:t xml:space="preserve"> </w:t>
            </w:r>
            <w:r>
              <w:rPr>
                <w:rFonts w:hint="default" w:ascii="Times New Roman" w:hAnsi="Times New Roman" w:cs="Times New Roman"/>
                <w:bCs/>
                <w:sz w:val="21"/>
                <w:szCs w:val="21"/>
              </w:rPr>
              <w:t>18006.1-2009</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lang w:val="en-US" w:eastAsia="zh-CN"/>
              </w:rPr>
              <w:t>或</w:t>
            </w:r>
            <w:r>
              <w:rPr>
                <w:rFonts w:hint="default" w:ascii="Times New Roman" w:hAnsi="Times New Roman" w:cs="Times New Roman"/>
                <w:bCs/>
                <w:sz w:val="21"/>
                <w:szCs w:val="21"/>
              </w:rPr>
              <w:t>产品明示标准</w:t>
            </w:r>
          </w:p>
        </w:tc>
        <w:tc>
          <w:tcPr>
            <w:tcW w:w="1426"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Cs/>
                <w:sz w:val="21"/>
                <w:szCs w:val="21"/>
              </w:rPr>
            </w:pPr>
            <w:r>
              <w:rPr>
                <w:rFonts w:hint="default" w:ascii="Times New Roman" w:hAnsi="Times New Roman" w:cs="Times New Roman"/>
                <w:bCs/>
                <w:sz w:val="21"/>
                <w:szCs w:val="21"/>
              </w:rPr>
              <w:t>GB/T 18006.1-2009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4"/>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rPr>
                <w:rFonts w:hint="default" w:ascii="Times New Roman" w:hAnsi="Times New Roman" w:cs="Times New Roman"/>
                <w:color w:val="000000"/>
                <w:sz w:val="21"/>
                <w:szCs w:val="21"/>
                <w:highlight w:val="none"/>
                <w:lang w:val="en-US"/>
              </w:rPr>
            </w:pPr>
            <w:r>
              <w:rPr>
                <w:rFonts w:hint="default" w:ascii="Times New Roman" w:hAnsi="Times New Roman" w:cs="Times New Roman"/>
                <w:bCs/>
                <w:sz w:val="21"/>
                <w:szCs w:val="21"/>
              </w:rPr>
              <w:t>注：</w:t>
            </w:r>
            <w:r>
              <w:rPr>
                <w:rFonts w:hint="eastAsia" w:ascii="Times New Roman" w:hAnsi="Times New Roman" w:cs="Times New Roman"/>
                <w:b w:val="0"/>
                <w:bCs w:val="0"/>
                <w:sz w:val="21"/>
                <w:szCs w:val="21"/>
                <w:lang w:val="en-US" w:eastAsia="zh-CN"/>
              </w:rPr>
              <w:t>1.</w:t>
            </w:r>
            <w:r>
              <w:rPr>
                <w:rFonts w:hint="eastAsia" w:ascii="Times New Roman" w:hAnsi="Times New Roman" w:cs="Times New Roman"/>
                <w:b w:val="0"/>
                <w:bCs w:val="0"/>
                <w:sz w:val="21"/>
                <w:szCs w:val="21"/>
              </w:rPr>
              <w:t>高锰酸钾消耗量不适用淀粉含量≥40%的淀粉基塑料材料及制品。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cs="Times New Roman"/>
                <w:color w:val="000000"/>
                <w:sz w:val="21"/>
                <w:szCs w:val="21"/>
                <w:highlight w:val="none"/>
              </w:rPr>
            </w:pPr>
            <w:r>
              <w:rPr>
                <w:rFonts w:hint="default" w:ascii="Times New Roman" w:hAnsi="Times New Roman" w:cs="Times New Roman"/>
                <w:color w:val="000000"/>
                <w:sz w:val="21"/>
                <w:szCs w:val="21"/>
                <w:highlight w:val="none"/>
                <w:lang w:val="en-US" w:eastAsia="zh-CN"/>
              </w:rPr>
              <w:t>2</w:t>
            </w:r>
            <w:r>
              <w:rPr>
                <w:rFonts w:hint="default" w:ascii="Times New Roman" w:hAnsi="Times New Roman" w:cs="Times New Roman"/>
                <w:color w:val="000000"/>
                <w:sz w:val="21"/>
                <w:szCs w:val="21"/>
                <w:highlight w:val="none"/>
                <w:lang w:val="en-US"/>
              </w:rPr>
              <w:t>.</w:t>
            </w:r>
            <w:r>
              <w:rPr>
                <w:rFonts w:hint="default" w:ascii="Times New Roman" w:hAnsi="Times New Roman" w:cs="Times New Roman"/>
                <w:color w:val="000000"/>
                <w:sz w:val="21"/>
                <w:szCs w:val="21"/>
                <w:highlight w:val="none"/>
              </w:rPr>
              <w:t>脱色试验仅适用于添加了着色剂的产品。</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bCs/>
                <w:sz w:val="21"/>
                <w:szCs w:val="21"/>
                <w:lang w:val="en-US" w:eastAsia="zh-CN"/>
              </w:rPr>
              <w:t>3.</w:t>
            </w:r>
            <w:r>
              <w:rPr>
                <w:rFonts w:hint="eastAsia" w:ascii="Times New Roman" w:hAnsi="Times New Roman" w:cs="Times New Roman"/>
                <w:b w:val="0"/>
                <w:bCs w:val="0"/>
                <w:sz w:val="21"/>
                <w:szCs w:val="21"/>
              </w:rPr>
              <w:t>芳香族伯胺迁移总量适用于含有芳香族异氰酸酯和偶氮类着色剂等可能产生芳香族伯胺类物质的产品。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cs="Times New Roman"/>
                <w:bCs/>
                <w:sz w:val="21"/>
                <w:szCs w:val="21"/>
              </w:rPr>
            </w:pPr>
            <w:r>
              <w:rPr>
                <w:rFonts w:hint="default" w:ascii="Times New Roman" w:hAnsi="Times New Roman" w:cs="Times New Roman"/>
                <w:bCs/>
                <w:sz w:val="21"/>
                <w:szCs w:val="21"/>
                <w:lang w:val="en-US"/>
              </w:rPr>
              <w:t>4.</w:t>
            </w:r>
            <w:r>
              <w:rPr>
                <w:rFonts w:hint="default" w:ascii="Times New Roman" w:hAnsi="Times New Roman" w:cs="Times New Roman"/>
                <w:bCs/>
                <w:sz w:val="21"/>
                <w:szCs w:val="21"/>
              </w:rPr>
              <w:t>因为流通领域无法让生产企业确定产品的预期使用情况，故流通领域上抽取的塑料一次性餐饮具产品迁移条件均按照10%乙醇，70℃，2h浸泡实验。</w:t>
            </w:r>
          </w:p>
        </w:tc>
      </w:tr>
    </w:tbl>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物理指标项目根据产品标准及检测方法是否符合细则要求，确定此项目是否需要检测。特定物质迁移限量项目应根据所生产产品的具体材质品种在GB 4806.7-2023 标准及相关公告中的具体要求进行，如针对具体材质品种无该项要求，则不需要检验。</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GB/T 18006.1-2009 塑料一次性餐饮具通用技术要求</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GB 4806.7-2023 食品安全国家标准 食品接触用塑料材料及制品</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bookmarkStart w:id="0" w:name="_GoBack"/>
      <w:r>
        <w:rPr>
          <w:rFonts w:hint="default" w:ascii="Times New Roman" w:hAnsi="Times New Roman" w:eastAsia="仿宋" w:cs="Times New Roman"/>
          <w:b/>
          <w:bCs/>
          <w:color w:val="000000"/>
          <w:szCs w:val="21"/>
        </w:rPr>
        <w:t>3.2判定原则</w:t>
      </w:r>
    </w:p>
    <w:bookmarkEnd w:id="0"/>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若被检产品明示的质量要求缺少本细则中检验项目依据的推荐性标准要求时，该项目不参与判定。</w:t>
      </w:r>
    </w:p>
    <w:sectPr>
      <w:footerReference r:id="rId4" w:type="first"/>
      <w:footerReference r:id="rId3" w:type="default"/>
      <w:pgSz w:w="11906" w:h="16838"/>
      <w:pgMar w:top="1440" w:right="1803" w:bottom="1440" w:left="1803" w:header="851" w:footer="119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cs="Calibri"/>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60325" cy="154940"/>
              <wp:effectExtent l="0" t="0" r="0" b="0"/>
              <wp:wrapNone/>
              <wp:docPr id="1910371744" name="文本框 1"/>
              <wp:cNvGraphicFramePr/>
              <a:graphic xmlns:a="http://schemas.openxmlformats.org/drawingml/2006/main">
                <a:graphicData uri="http://schemas.microsoft.com/office/word/2010/wordprocessingShape">
                  <wps:wsp>
                    <wps:cNvSpPr txBox="true">
                      <a:spLocks noChangeArrowheads="true"/>
                    </wps:cNvSpPr>
                    <wps:spPr bwMode="auto">
                      <a:xfrm>
                        <a:off x="0" y="0"/>
                        <a:ext cx="60325" cy="154940"/>
                      </a:xfrm>
                      <a:prstGeom prst="rect">
                        <a:avLst/>
                      </a:prstGeom>
                      <a:noFill/>
                      <a:ln>
                        <a:noFill/>
                      </a:ln>
                    </wps:spPr>
                    <wps:txbx>
                      <w:txbxContent>
                        <w:p>
                          <w:pPr>
                            <w:pStyle w:val="5"/>
                            <w:rPr>
                              <w:rFonts w:hint="eastAsia" w:eastAsia="宋体" w:cs="Calibri"/>
                            </w:rPr>
                          </w:pPr>
                          <w:r>
                            <w:fldChar w:fldCharType="begin"/>
                          </w:r>
                          <w:r>
                            <w:instrText xml:space="preserve"> PAGE  \* MERGEFORMAT </w:instrText>
                          </w:r>
                          <w:r>
                            <w:fldChar w:fldCharType="separate"/>
                          </w:r>
                          <w:r>
                            <w:t>3</w:t>
                          </w:r>
                          <w:r>
                            <w:fldChar w:fldCharType="end"/>
                          </w:r>
                        </w:p>
                      </w:txbxContent>
                    </wps:txbx>
                    <wps:bodyPr rot="0" vert="horz" wrap="none" lIns="0" tIns="0" rIns="0" bIns="0" anchor="t" anchorCtr="false" upright="true">
                      <a:spAutoFit/>
                    </wps:bodyPr>
                  </wps:wsp>
                </a:graphicData>
              </a:graphic>
            </wp:anchor>
          </w:drawing>
        </mc:Choice>
        <mc:Fallback>
          <w:pict>
            <v:shape id="文本框 1" o:spid="_x0000_s1026" o:spt="202" type="#_x0000_t202" style="position:absolute;left:0pt;margin-top:0pt;height:12.2pt;width:4.75pt;mso-position-horizontal:center;mso-position-horizontal-relative:margin;mso-wrap-style:none;z-index:251660288;mso-width-relative:page;mso-height-relative:page;" filled="f" stroked="f" coordsize="21600,21600" o:gfxdata="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eo0nyNEAAAACAQAADwAAAAAAAAABACAA&#10;AAA4AAAAZHJzL2Rvd25yZXYueG1sUEsBAhQAFAAAAAgAh07iQMxvcez+AQAAyQMAAA4AAAAAAAAA&#10;AQAgAAAANgEAAGRycy9lMm9Eb2MueG1sUEsFBgAAAAAGAAYAWQEAAKYFAAAAAA==&#10;">
              <v:fill on="f" focussize="0,0"/>
              <v:stroke on="f"/>
              <v:imagedata o:title=""/>
              <o:lock v:ext="edit" aspectratio="f"/>
              <v:textbox inset="0mm,0mm,0mm,0mm" style="mso-fit-shape-to-text:t;">
                <w:txbxContent>
                  <w:p>
                    <w:pPr>
                      <w:pStyle w:val="5"/>
                      <w:rPr>
                        <w:rFonts w:hint="eastAsia" w:eastAsia="宋体" w:cs="Calibri"/>
                      </w:rPr>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cs="Calibri"/>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0325" cy="154940"/>
              <wp:effectExtent l="0" t="0" r="0" b="0"/>
              <wp:wrapNone/>
              <wp:docPr id="683130827"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60325" cy="154940"/>
                      </a:xfrm>
                      <a:prstGeom prst="rect">
                        <a:avLst/>
                      </a:prstGeom>
                      <a:noFill/>
                      <a:ln>
                        <a:noFill/>
                      </a:ln>
                    </wps:spPr>
                    <wps:txbx>
                      <w:txbxContent>
                        <w:p>
                          <w:pPr>
                            <w:pStyle w:val="5"/>
                            <w:rPr>
                              <w:rFonts w:hint="eastAsia" w:eastAsia="宋体" w:cs="Calibri"/>
                            </w:rPr>
                          </w:pPr>
                          <w:r>
                            <w:fldChar w:fldCharType="begin"/>
                          </w:r>
                          <w:r>
                            <w:instrText xml:space="preserve"> PAGE  \* MERGEFORMAT </w:instrText>
                          </w:r>
                          <w:r>
                            <w:fldChar w:fldCharType="separate"/>
                          </w:r>
                          <w:r>
                            <w:t>1</w:t>
                          </w:r>
                          <w:r>
                            <w:fldChar w:fldCharType="end"/>
                          </w:r>
                        </w:p>
                      </w:txbxContent>
                    </wps:txbx>
                    <wps:bodyPr rot="0" vert="horz" wrap="none" lIns="0" tIns="0" rIns="0" bIns="0" anchor="t" anchorCtr="false" upright="true">
                      <a:spAutoFit/>
                    </wps:bodyPr>
                  </wps:wsp>
                </a:graphicData>
              </a:graphic>
            </wp:anchor>
          </w:drawing>
        </mc:Choice>
        <mc:Fallback>
          <w:pict>
            <v:shape id="文本框 2" o:spid="_x0000_s1026" o:spt="202" type="#_x0000_t202" style="position:absolute;left:0pt;margin-top:0pt;height:12.2pt;width:4.75pt;mso-position-horizontal:center;mso-position-horizontal-relative:margin;mso-wrap-style:none;z-index:251659264;mso-width-relative:page;mso-height-relative:page;" filled="f" stroked="f" coordsize="21600,21600" o:gfxdata="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B6jSfI0QAAAAIBAAAPAAAAAAAAAAEAIAAA&#10;ADgAAABkcnMvZG93bnJldi54bWxQSwECFAAUAAAACACHTuJAhf5/7P0BAADIAwAADgAAAAAAAAAB&#10;ACAAAAA2AQAAZHJzL2Uyb0RvYy54bWxQSwUGAAAAAAYABgBZAQAApQUAAAAA&#10;">
              <v:fill on="f" focussize="0,0"/>
              <v:stroke on="f"/>
              <v:imagedata o:title=""/>
              <o:lock v:ext="edit" aspectratio="f"/>
              <v:textbox inset="0mm,0mm,0mm,0mm" style="mso-fit-shape-to-text:t;">
                <w:txbxContent>
                  <w:p>
                    <w:pPr>
                      <w:pStyle w:val="5"/>
                      <w:rPr>
                        <w:rFonts w:hint="eastAsia" w:eastAsia="宋体" w:cs="Calibri"/>
                      </w:rPr>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true"/>
  <w:bordersDoNotSurroundFooter w:val="true"/>
  <w:documentProtection w:enforcement="0"/>
  <w:defaultTabStop w:val="420"/>
  <w:doNotHyphenateCaps/>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3NDBkMzY3OTc0YzhmNzE3ZDU1MTI4ZjAzMzFmZWEifQ=="/>
    <w:docVar w:name="KSO_WPS_MARK_KEY" w:val="96827c55-fcc4-43ea-b342-45cbf4bfa0a4"/>
  </w:docVars>
  <w:rsids>
    <w:rsidRoot w:val="00D5405B"/>
    <w:rsid w:val="000072CC"/>
    <w:rsid w:val="0001286A"/>
    <w:rsid w:val="000171C0"/>
    <w:rsid w:val="0002043B"/>
    <w:rsid w:val="00025AE4"/>
    <w:rsid w:val="00025CA6"/>
    <w:rsid w:val="00026506"/>
    <w:rsid w:val="00026B17"/>
    <w:rsid w:val="00030F7C"/>
    <w:rsid w:val="00053863"/>
    <w:rsid w:val="00055CBF"/>
    <w:rsid w:val="00060F67"/>
    <w:rsid w:val="00066069"/>
    <w:rsid w:val="00076350"/>
    <w:rsid w:val="000772DD"/>
    <w:rsid w:val="00077400"/>
    <w:rsid w:val="00077990"/>
    <w:rsid w:val="00082D47"/>
    <w:rsid w:val="00083BA4"/>
    <w:rsid w:val="00085E36"/>
    <w:rsid w:val="00095A97"/>
    <w:rsid w:val="000A2F7A"/>
    <w:rsid w:val="000A3CAE"/>
    <w:rsid w:val="000A5587"/>
    <w:rsid w:val="000B1797"/>
    <w:rsid w:val="000B6E51"/>
    <w:rsid w:val="000C2772"/>
    <w:rsid w:val="000D66CD"/>
    <w:rsid w:val="000D69C5"/>
    <w:rsid w:val="000E1A0E"/>
    <w:rsid w:val="000F5A98"/>
    <w:rsid w:val="0010260B"/>
    <w:rsid w:val="00103172"/>
    <w:rsid w:val="001054C9"/>
    <w:rsid w:val="00116680"/>
    <w:rsid w:val="00116785"/>
    <w:rsid w:val="0011788A"/>
    <w:rsid w:val="001233E8"/>
    <w:rsid w:val="001263E2"/>
    <w:rsid w:val="00126F7D"/>
    <w:rsid w:val="0012758A"/>
    <w:rsid w:val="00133864"/>
    <w:rsid w:val="00133CF7"/>
    <w:rsid w:val="00135966"/>
    <w:rsid w:val="00146044"/>
    <w:rsid w:val="0015082A"/>
    <w:rsid w:val="00152247"/>
    <w:rsid w:val="00156FFE"/>
    <w:rsid w:val="00166831"/>
    <w:rsid w:val="00171EEA"/>
    <w:rsid w:val="00172551"/>
    <w:rsid w:val="001750B5"/>
    <w:rsid w:val="00176127"/>
    <w:rsid w:val="0018595F"/>
    <w:rsid w:val="00193CBC"/>
    <w:rsid w:val="001A2B92"/>
    <w:rsid w:val="001B54E5"/>
    <w:rsid w:val="001B5B00"/>
    <w:rsid w:val="001C34B9"/>
    <w:rsid w:val="001C45A3"/>
    <w:rsid w:val="001C52E2"/>
    <w:rsid w:val="001D13D3"/>
    <w:rsid w:val="001E66E7"/>
    <w:rsid w:val="001F3B71"/>
    <w:rsid w:val="001F4A22"/>
    <w:rsid w:val="00203549"/>
    <w:rsid w:val="002056DC"/>
    <w:rsid w:val="002217E1"/>
    <w:rsid w:val="00245EF2"/>
    <w:rsid w:val="00274740"/>
    <w:rsid w:val="00281373"/>
    <w:rsid w:val="002856F3"/>
    <w:rsid w:val="002A5AFB"/>
    <w:rsid w:val="002B2DBA"/>
    <w:rsid w:val="002B31EB"/>
    <w:rsid w:val="002C1F17"/>
    <w:rsid w:val="002C2A99"/>
    <w:rsid w:val="002C31C5"/>
    <w:rsid w:val="002D05EB"/>
    <w:rsid w:val="002D73B3"/>
    <w:rsid w:val="002D7FE6"/>
    <w:rsid w:val="002E3F7F"/>
    <w:rsid w:val="002F7E59"/>
    <w:rsid w:val="00303414"/>
    <w:rsid w:val="00312ECE"/>
    <w:rsid w:val="003160F2"/>
    <w:rsid w:val="003167E0"/>
    <w:rsid w:val="00321205"/>
    <w:rsid w:val="00326242"/>
    <w:rsid w:val="0034396F"/>
    <w:rsid w:val="0035424B"/>
    <w:rsid w:val="00354BC3"/>
    <w:rsid w:val="00360295"/>
    <w:rsid w:val="00361795"/>
    <w:rsid w:val="00363AD5"/>
    <w:rsid w:val="00372899"/>
    <w:rsid w:val="0037572D"/>
    <w:rsid w:val="00383201"/>
    <w:rsid w:val="00390105"/>
    <w:rsid w:val="003A201B"/>
    <w:rsid w:val="003A36C6"/>
    <w:rsid w:val="003B5800"/>
    <w:rsid w:val="003E2063"/>
    <w:rsid w:val="003E6A32"/>
    <w:rsid w:val="004031D7"/>
    <w:rsid w:val="004039C9"/>
    <w:rsid w:val="00403E87"/>
    <w:rsid w:val="0040473B"/>
    <w:rsid w:val="00425172"/>
    <w:rsid w:val="00425403"/>
    <w:rsid w:val="004375FD"/>
    <w:rsid w:val="00437974"/>
    <w:rsid w:val="004465D6"/>
    <w:rsid w:val="00453130"/>
    <w:rsid w:val="00462456"/>
    <w:rsid w:val="00463FAE"/>
    <w:rsid w:val="00463FC1"/>
    <w:rsid w:val="00481EAB"/>
    <w:rsid w:val="00487378"/>
    <w:rsid w:val="00493C6E"/>
    <w:rsid w:val="004A7140"/>
    <w:rsid w:val="004A75EE"/>
    <w:rsid w:val="004B5F9D"/>
    <w:rsid w:val="004D5D4E"/>
    <w:rsid w:val="004D5F41"/>
    <w:rsid w:val="004E5C4C"/>
    <w:rsid w:val="004E7AB4"/>
    <w:rsid w:val="004F0585"/>
    <w:rsid w:val="004F1A7A"/>
    <w:rsid w:val="00506994"/>
    <w:rsid w:val="0050716C"/>
    <w:rsid w:val="00510E23"/>
    <w:rsid w:val="00513EC4"/>
    <w:rsid w:val="005338CF"/>
    <w:rsid w:val="0054021E"/>
    <w:rsid w:val="00540922"/>
    <w:rsid w:val="0054269A"/>
    <w:rsid w:val="00546122"/>
    <w:rsid w:val="0057124C"/>
    <w:rsid w:val="0059024C"/>
    <w:rsid w:val="005B048C"/>
    <w:rsid w:val="005B2E59"/>
    <w:rsid w:val="005B55D2"/>
    <w:rsid w:val="005C6AFD"/>
    <w:rsid w:val="005C7001"/>
    <w:rsid w:val="006073DB"/>
    <w:rsid w:val="00617A0B"/>
    <w:rsid w:val="00625931"/>
    <w:rsid w:val="00626741"/>
    <w:rsid w:val="00637112"/>
    <w:rsid w:val="00642B48"/>
    <w:rsid w:val="0064413B"/>
    <w:rsid w:val="00646F8C"/>
    <w:rsid w:val="00647A4F"/>
    <w:rsid w:val="00647B3E"/>
    <w:rsid w:val="00647F58"/>
    <w:rsid w:val="006527CA"/>
    <w:rsid w:val="00652CBC"/>
    <w:rsid w:val="006568FC"/>
    <w:rsid w:val="00660B4B"/>
    <w:rsid w:val="00661D48"/>
    <w:rsid w:val="006634C5"/>
    <w:rsid w:val="0067112E"/>
    <w:rsid w:val="00671BB8"/>
    <w:rsid w:val="006771F5"/>
    <w:rsid w:val="00681F38"/>
    <w:rsid w:val="00684DFA"/>
    <w:rsid w:val="006860ED"/>
    <w:rsid w:val="00690A51"/>
    <w:rsid w:val="006A37FB"/>
    <w:rsid w:val="006A3BCD"/>
    <w:rsid w:val="006A4825"/>
    <w:rsid w:val="006A675B"/>
    <w:rsid w:val="006B43E9"/>
    <w:rsid w:val="006B5491"/>
    <w:rsid w:val="006C1876"/>
    <w:rsid w:val="006C1C83"/>
    <w:rsid w:val="006C3505"/>
    <w:rsid w:val="006D1BD5"/>
    <w:rsid w:val="006D73F4"/>
    <w:rsid w:val="006E0C0B"/>
    <w:rsid w:val="006E44C7"/>
    <w:rsid w:val="00704466"/>
    <w:rsid w:val="00704C63"/>
    <w:rsid w:val="00713B4A"/>
    <w:rsid w:val="0071472A"/>
    <w:rsid w:val="00720B0B"/>
    <w:rsid w:val="00740DCA"/>
    <w:rsid w:val="00756DC0"/>
    <w:rsid w:val="0076250A"/>
    <w:rsid w:val="007A6ABF"/>
    <w:rsid w:val="007B11EF"/>
    <w:rsid w:val="007B4063"/>
    <w:rsid w:val="007B7635"/>
    <w:rsid w:val="007C56E7"/>
    <w:rsid w:val="007D536A"/>
    <w:rsid w:val="007D7EC0"/>
    <w:rsid w:val="007E2C65"/>
    <w:rsid w:val="007F0196"/>
    <w:rsid w:val="007F64AD"/>
    <w:rsid w:val="007F675C"/>
    <w:rsid w:val="00813061"/>
    <w:rsid w:val="00817598"/>
    <w:rsid w:val="00823CAF"/>
    <w:rsid w:val="008250EA"/>
    <w:rsid w:val="0084180E"/>
    <w:rsid w:val="00842A87"/>
    <w:rsid w:val="00850761"/>
    <w:rsid w:val="00852697"/>
    <w:rsid w:val="00856BE3"/>
    <w:rsid w:val="0085783B"/>
    <w:rsid w:val="0086438D"/>
    <w:rsid w:val="00865DB7"/>
    <w:rsid w:val="008700CA"/>
    <w:rsid w:val="00871868"/>
    <w:rsid w:val="00871D2E"/>
    <w:rsid w:val="0087456B"/>
    <w:rsid w:val="008750E0"/>
    <w:rsid w:val="0088051E"/>
    <w:rsid w:val="00881153"/>
    <w:rsid w:val="008846B4"/>
    <w:rsid w:val="008918B9"/>
    <w:rsid w:val="00894707"/>
    <w:rsid w:val="00897921"/>
    <w:rsid w:val="008A7FDD"/>
    <w:rsid w:val="008B1D46"/>
    <w:rsid w:val="008C29DE"/>
    <w:rsid w:val="008C2AB8"/>
    <w:rsid w:val="008C3204"/>
    <w:rsid w:val="008C4849"/>
    <w:rsid w:val="008C65DC"/>
    <w:rsid w:val="008D0DE0"/>
    <w:rsid w:val="008D4A2F"/>
    <w:rsid w:val="008D6902"/>
    <w:rsid w:val="008F0C2B"/>
    <w:rsid w:val="008F6B06"/>
    <w:rsid w:val="0090548F"/>
    <w:rsid w:val="00905937"/>
    <w:rsid w:val="0091077B"/>
    <w:rsid w:val="00932D7B"/>
    <w:rsid w:val="009343C4"/>
    <w:rsid w:val="00943D5B"/>
    <w:rsid w:val="009459A7"/>
    <w:rsid w:val="00950285"/>
    <w:rsid w:val="00952820"/>
    <w:rsid w:val="009552B0"/>
    <w:rsid w:val="00963C41"/>
    <w:rsid w:val="00965B98"/>
    <w:rsid w:val="00965DA1"/>
    <w:rsid w:val="009814B1"/>
    <w:rsid w:val="0098564E"/>
    <w:rsid w:val="009B5A56"/>
    <w:rsid w:val="009C58A2"/>
    <w:rsid w:val="009D0EEB"/>
    <w:rsid w:val="009D1E46"/>
    <w:rsid w:val="009D6100"/>
    <w:rsid w:val="009F2F59"/>
    <w:rsid w:val="009F3497"/>
    <w:rsid w:val="00A00835"/>
    <w:rsid w:val="00A02F9C"/>
    <w:rsid w:val="00A108D1"/>
    <w:rsid w:val="00A11828"/>
    <w:rsid w:val="00A12277"/>
    <w:rsid w:val="00A21EBC"/>
    <w:rsid w:val="00A472CA"/>
    <w:rsid w:val="00A510DF"/>
    <w:rsid w:val="00A5360F"/>
    <w:rsid w:val="00A55EE0"/>
    <w:rsid w:val="00A72DF9"/>
    <w:rsid w:val="00A87B03"/>
    <w:rsid w:val="00A92DBB"/>
    <w:rsid w:val="00A93E86"/>
    <w:rsid w:val="00AA4D2B"/>
    <w:rsid w:val="00AD207F"/>
    <w:rsid w:val="00AD214F"/>
    <w:rsid w:val="00AD519B"/>
    <w:rsid w:val="00AE2BAD"/>
    <w:rsid w:val="00AE3888"/>
    <w:rsid w:val="00AE44AD"/>
    <w:rsid w:val="00AE44CF"/>
    <w:rsid w:val="00AE45F8"/>
    <w:rsid w:val="00AE5DF7"/>
    <w:rsid w:val="00AF26C8"/>
    <w:rsid w:val="00AF53A0"/>
    <w:rsid w:val="00AF7FD3"/>
    <w:rsid w:val="00B02990"/>
    <w:rsid w:val="00B045D2"/>
    <w:rsid w:val="00B11F99"/>
    <w:rsid w:val="00B138C5"/>
    <w:rsid w:val="00B23BC1"/>
    <w:rsid w:val="00B36F66"/>
    <w:rsid w:val="00B47B99"/>
    <w:rsid w:val="00B54A71"/>
    <w:rsid w:val="00B57C43"/>
    <w:rsid w:val="00B6740F"/>
    <w:rsid w:val="00B6788A"/>
    <w:rsid w:val="00B70A1A"/>
    <w:rsid w:val="00B819AE"/>
    <w:rsid w:val="00B85F04"/>
    <w:rsid w:val="00B919C3"/>
    <w:rsid w:val="00B949CB"/>
    <w:rsid w:val="00BB2252"/>
    <w:rsid w:val="00BB35FA"/>
    <w:rsid w:val="00BB6923"/>
    <w:rsid w:val="00BB6D65"/>
    <w:rsid w:val="00BC2F8E"/>
    <w:rsid w:val="00BC5EAA"/>
    <w:rsid w:val="00BC666B"/>
    <w:rsid w:val="00BD14F0"/>
    <w:rsid w:val="00BE2A30"/>
    <w:rsid w:val="00BE3940"/>
    <w:rsid w:val="00BF7F7D"/>
    <w:rsid w:val="00C10139"/>
    <w:rsid w:val="00C20920"/>
    <w:rsid w:val="00C35A59"/>
    <w:rsid w:val="00C40F57"/>
    <w:rsid w:val="00C45860"/>
    <w:rsid w:val="00C4618E"/>
    <w:rsid w:val="00C46ED4"/>
    <w:rsid w:val="00C5059E"/>
    <w:rsid w:val="00C525DC"/>
    <w:rsid w:val="00C533C0"/>
    <w:rsid w:val="00C56DEB"/>
    <w:rsid w:val="00C57846"/>
    <w:rsid w:val="00C63048"/>
    <w:rsid w:val="00C70A29"/>
    <w:rsid w:val="00C72BE6"/>
    <w:rsid w:val="00C80701"/>
    <w:rsid w:val="00C80ADD"/>
    <w:rsid w:val="00C814AB"/>
    <w:rsid w:val="00C820A1"/>
    <w:rsid w:val="00C84D1B"/>
    <w:rsid w:val="00CA7DD9"/>
    <w:rsid w:val="00CB1BAE"/>
    <w:rsid w:val="00CB2060"/>
    <w:rsid w:val="00CB65B2"/>
    <w:rsid w:val="00CB6D4F"/>
    <w:rsid w:val="00CC5986"/>
    <w:rsid w:val="00CC797E"/>
    <w:rsid w:val="00CE149D"/>
    <w:rsid w:val="00CE67F6"/>
    <w:rsid w:val="00CE754F"/>
    <w:rsid w:val="00D045CA"/>
    <w:rsid w:val="00D05DF5"/>
    <w:rsid w:val="00D109EA"/>
    <w:rsid w:val="00D15882"/>
    <w:rsid w:val="00D16E10"/>
    <w:rsid w:val="00D2003B"/>
    <w:rsid w:val="00D5405B"/>
    <w:rsid w:val="00D547FC"/>
    <w:rsid w:val="00D5595D"/>
    <w:rsid w:val="00D6052D"/>
    <w:rsid w:val="00D70122"/>
    <w:rsid w:val="00D7679F"/>
    <w:rsid w:val="00D80E58"/>
    <w:rsid w:val="00D81925"/>
    <w:rsid w:val="00D8512B"/>
    <w:rsid w:val="00D91AF5"/>
    <w:rsid w:val="00D91C44"/>
    <w:rsid w:val="00DB056C"/>
    <w:rsid w:val="00DB0AF4"/>
    <w:rsid w:val="00DB4BF7"/>
    <w:rsid w:val="00DD3A0F"/>
    <w:rsid w:val="00DD3EDA"/>
    <w:rsid w:val="00DE3139"/>
    <w:rsid w:val="00DE50BD"/>
    <w:rsid w:val="00DE6FA0"/>
    <w:rsid w:val="00E13661"/>
    <w:rsid w:val="00E15957"/>
    <w:rsid w:val="00E16030"/>
    <w:rsid w:val="00E20730"/>
    <w:rsid w:val="00E21DE6"/>
    <w:rsid w:val="00E376C3"/>
    <w:rsid w:val="00E40633"/>
    <w:rsid w:val="00E52893"/>
    <w:rsid w:val="00E65D5B"/>
    <w:rsid w:val="00E67210"/>
    <w:rsid w:val="00E70EB9"/>
    <w:rsid w:val="00E72DAD"/>
    <w:rsid w:val="00E9520D"/>
    <w:rsid w:val="00EA3055"/>
    <w:rsid w:val="00EA330E"/>
    <w:rsid w:val="00EB3FC5"/>
    <w:rsid w:val="00EC13D8"/>
    <w:rsid w:val="00EC41A3"/>
    <w:rsid w:val="00ED2798"/>
    <w:rsid w:val="00ED5B30"/>
    <w:rsid w:val="00EE5CAD"/>
    <w:rsid w:val="00EF0338"/>
    <w:rsid w:val="00EF0F94"/>
    <w:rsid w:val="00EF2C5F"/>
    <w:rsid w:val="00EF2ED5"/>
    <w:rsid w:val="00EF4A02"/>
    <w:rsid w:val="00F06D6F"/>
    <w:rsid w:val="00F07397"/>
    <w:rsid w:val="00F173F5"/>
    <w:rsid w:val="00F30E64"/>
    <w:rsid w:val="00F346CB"/>
    <w:rsid w:val="00F37CDF"/>
    <w:rsid w:val="00F40B52"/>
    <w:rsid w:val="00F440C6"/>
    <w:rsid w:val="00F50DA1"/>
    <w:rsid w:val="00F544C7"/>
    <w:rsid w:val="00F60BEE"/>
    <w:rsid w:val="00F61911"/>
    <w:rsid w:val="00F653C4"/>
    <w:rsid w:val="00F776C2"/>
    <w:rsid w:val="00F85F57"/>
    <w:rsid w:val="00F860B3"/>
    <w:rsid w:val="00F95A19"/>
    <w:rsid w:val="00F97125"/>
    <w:rsid w:val="00FA2A02"/>
    <w:rsid w:val="00FA37B4"/>
    <w:rsid w:val="00FA54F5"/>
    <w:rsid w:val="00FA778F"/>
    <w:rsid w:val="00FB22D5"/>
    <w:rsid w:val="00FC1F9B"/>
    <w:rsid w:val="00FC5FE3"/>
    <w:rsid w:val="00FD05A8"/>
    <w:rsid w:val="00FD6FEF"/>
    <w:rsid w:val="00FD749D"/>
    <w:rsid w:val="00FE2DE6"/>
    <w:rsid w:val="00FE3106"/>
    <w:rsid w:val="00FE440A"/>
    <w:rsid w:val="00FF67B1"/>
    <w:rsid w:val="00FF6EA3"/>
    <w:rsid w:val="013C4452"/>
    <w:rsid w:val="029706AC"/>
    <w:rsid w:val="06C12F83"/>
    <w:rsid w:val="0A0707D1"/>
    <w:rsid w:val="0BEF60F1"/>
    <w:rsid w:val="0CD409F0"/>
    <w:rsid w:val="0E9E49E6"/>
    <w:rsid w:val="11E35B9E"/>
    <w:rsid w:val="13FD29D3"/>
    <w:rsid w:val="17E4768B"/>
    <w:rsid w:val="18B30E7B"/>
    <w:rsid w:val="196A131B"/>
    <w:rsid w:val="1AF92F65"/>
    <w:rsid w:val="1B5A5AA0"/>
    <w:rsid w:val="1B8B1A92"/>
    <w:rsid w:val="1BBD3130"/>
    <w:rsid w:val="1C4007A0"/>
    <w:rsid w:val="1C686482"/>
    <w:rsid w:val="1CCF0A4E"/>
    <w:rsid w:val="1F1C3AF1"/>
    <w:rsid w:val="26096525"/>
    <w:rsid w:val="283468FF"/>
    <w:rsid w:val="29392B8F"/>
    <w:rsid w:val="2A2E52DB"/>
    <w:rsid w:val="2CFD4BE0"/>
    <w:rsid w:val="2E2F49AB"/>
    <w:rsid w:val="2EB77514"/>
    <w:rsid w:val="334F23E4"/>
    <w:rsid w:val="33B44FB3"/>
    <w:rsid w:val="35ED4271"/>
    <w:rsid w:val="37085CD4"/>
    <w:rsid w:val="39DF4470"/>
    <w:rsid w:val="3A5974EF"/>
    <w:rsid w:val="3AE02980"/>
    <w:rsid w:val="3B520451"/>
    <w:rsid w:val="3C8B5F2B"/>
    <w:rsid w:val="3CAC1730"/>
    <w:rsid w:val="3DB64099"/>
    <w:rsid w:val="3DE24FE8"/>
    <w:rsid w:val="40630C61"/>
    <w:rsid w:val="40C51B17"/>
    <w:rsid w:val="40D2476E"/>
    <w:rsid w:val="40FC7D2A"/>
    <w:rsid w:val="41287880"/>
    <w:rsid w:val="42B745D5"/>
    <w:rsid w:val="47154AA7"/>
    <w:rsid w:val="48121517"/>
    <w:rsid w:val="48D121E8"/>
    <w:rsid w:val="4B4C6909"/>
    <w:rsid w:val="4BCA5F79"/>
    <w:rsid w:val="4CF6055B"/>
    <w:rsid w:val="4E4A12EF"/>
    <w:rsid w:val="4EE71B56"/>
    <w:rsid w:val="4F3A3DF2"/>
    <w:rsid w:val="5192021D"/>
    <w:rsid w:val="51EF6596"/>
    <w:rsid w:val="524B38CA"/>
    <w:rsid w:val="53901ECC"/>
    <w:rsid w:val="53F323D0"/>
    <w:rsid w:val="55327046"/>
    <w:rsid w:val="57041A0F"/>
    <w:rsid w:val="573F7409"/>
    <w:rsid w:val="57C31F1C"/>
    <w:rsid w:val="59D9671C"/>
    <w:rsid w:val="5A0918C8"/>
    <w:rsid w:val="5A1910D4"/>
    <w:rsid w:val="5CCE22DF"/>
    <w:rsid w:val="5D014D35"/>
    <w:rsid w:val="5DDF7D9D"/>
    <w:rsid w:val="5DFA22C6"/>
    <w:rsid w:val="5E0C0459"/>
    <w:rsid w:val="61FD4BD6"/>
    <w:rsid w:val="623623EE"/>
    <w:rsid w:val="62874D3A"/>
    <w:rsid w:val="639549E4"/>
    <w:rsid w:val="64E81EA8"/>
    <w:rsid w:val="65DD6A95"/>
    <w:rsid w:val="6ADB09F2"/>
    <w:rsid w:val="6BC42A4A"/>
    <w:rsid w:val="6C2B7D60"/>
    <w:rsid w:val="6E2C7E5B"/>
    <w:rsid w:val="6EBC53D5"/>
    <w:rsid w:val="710E0874"/>
    <w:rsid w:val="71646B09"/>
    <w:rsid w:val="72DA67B4"/>
    <w:rsid w:val="789B05ED"/>
    <w:rsid w:val="7BC24773"/>
    <w:rsid w:val="7CAC402C"/>
    <w:rsid w:val="7D8D3D7E"/>
    <w:rsid w:val="7E7C27FD"/>
    <w:rsid w:val="7E9A5CD6"/>
    <w:rsid w:val="EFB5D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semiHidden/>
    <w:qFormat/>
    <w:uiPriority w:val="99"/>
    <w:pPr>
      <w:jc w:val="left"/>
    </w:pPr>
    <w:rPr>
      <w:kern w:val="0"/>
    </w:rPr>
  </w:style>
  <w:style w:type="paragraph" w:styleId="3">
    <w:name w:val="Body Text Indent"/>
    <w:basedOn w:val="1"/>
    <w:next w:val="1"/>
    <w:unhideWhenUsed/>
    <w:qFormat/>
    <w:uiPriority w:val="99"/>
    <w:pPr>
      <w:spacing w:after="120"/>
      <w:ind w:left="420" w:leftChars="200"/>
    </w:pPr>
    <w:rPr>
      <w:rFonts w:ascii="Calibri" w:hAnsi="Calibri"/>
    </w:rPr>
  </w:style>
  <w:style w:type="paragraph" w:styleId="4">
    <w:name w:val="Balloon Text"/>
    <w:basedOn w:val="1"/>
    <w:link w:val="11"/>
    <w:semiHidden/>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rFonts w:ascii="等线" w:hAnsi="等线" w:eastAsia="等线"/>
      <w:kern w:val="0"/>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rFonts w:ascii="等线" w:hAnsi="等线" w:eastAsia="等线"/>
      <w:kern w:val="0"/>
      <w:sz w:val="18"/>
      <w:szCs w:val="18"/>
    </w:rPr>
  </w:style>
  <w:style w:type="paragraph" w:styleId="7">
    <w:name w:val="Body Text First Indent 2"/>
    <w:basedOn w:val="3"/>
    <w:qFormat/>
    <w:uiPriority w:val="99"/>
    <w:pPr>
      <w:ind w:firstLine="420" w:firstLineChars="200"/>
    </w:pPr>
  </w:style>
  <w:style w:type="character" w:customStyle="1" w:styleId="10">
    <w:name w:val="批注文字 字符"/>
    <w:link w:val="2"/>
    <w:semiHidden/>
    <w:qFormat/>
    <w:locked/>
    <w:uiPriority w:val="99"/>
    <w:rPr>
      <w:rFonts w:ascii="Calibri" w:hAnsi="Calibri" w:eastAsia="宋体" w:cs="Calibri"/>
      <w:sz w:val="21"/>
      <w:szCs w:val="21"/>
    </w:rPr>
  </w:style>
  <w:style w:type="character" w:customStyle="1" w:styleId="11">
    <w:name w:val="批注框文本 字符"/>
    <w:link w:val="4"/>
    <w:semiHidden/>
    <w:qFormat/>
    <w:locked/>
    <w:uiPriority w:val="99"/>
    <w:rPr>
      <w:rFonts w:ascii="Calibri" w:hAnsi="Calibri" w:eastAsia="宋体" w:cs="Calibri"/>
      <w:kern w:val="2"/>
      <w:sz w:val="18"/>
      <w:szCs w:val="18"/>
    </w:rPr>
  </w:style>
  <w:style w:type="character" w:customStyle="1" w:styleId="12">
    <w:name w:val="页脚 字符"/>
    <w:link w:val="5"/>
    <w:qFormat/>
    <w:locked/>
    <w:uiPriority w:val="99"/>
    <w:rPr>
      <w:sz w:val="18"/>
      <w:szCs w:val="18"/>
    </w:rPr>
  </w:style>
  <w:style w:type="character" w:customStyle="1" w:styleId="13">
    <w:name w:val="页眉 字符"/>
    <w:link w:val="6"/>
    <w:qFormat/>
    <w:locked/>
    <w:uiPriority w:val="99"/>
    <w:rPr>
      <w:sz w:val="18"/>
      <w:szCs w:val="18"/>
    </w:rPr>
  </w:style>
  <w:style w:type="paragraph" w:customStyle="1" w:styleId="14">
    <w:name w:val="修订1"/>
    <w:semiHidden/>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1273</Words>
  <Characters>1587</Characters>
  <Lines>198</Lines>
  <Paragraphs>219</Paragraphs>
  <TotalTime>3</TotalTime>
  <ScaleCrop>false</ScaleCrop>
  <LinksUpToDate>false</LinksUpToDate>
  <CharactersWithSpaces>1618</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2025-02-14T14:37:00Z</dcterms:created>
  <dc:creator>lenovo</dc:creator>
  <cp:lastModifiedBy>朱俊戎</cp:lastModifiedBy>
  <dcterms:modified xsi:type="dcterms:W3CDTF">2025-08-04T10:27:21Z</dcterms:modified>
  <dc:title>童鞋产品质量国家监督抽查实施细则</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B5AD2AB0C5484905BF9BC653FB36F9E2_13</vt:lpwstr>
  </property>
  <property fmtid="{D5CDD505-2E9C-101B-9397-08002B2CF9AE}" pid="4" name="KSOTemplateDocerSaveRecord">
    <vt:lpwstr>eyJoZGlkIjoiNWNmMDJkNzZkOGJjMmFhN2RhOGIxOTBkOGMyYTVjZmYiLCJ1c2VySWQiOiI0Mzg1ODYxNDgifQ==</vt:lpwstr>
  </property>
</Properties>
</file>