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江西省食品用塑料编织袋产品质量省级</w:t>
      </w:r>
    </w:p>
    <w:p>
      <w:pPr>
        <w:spacing w:line="240" w:lineRule="auto"/>
        <w:jc w:val="center"/>
        <w:rPr>
          <w:rFonts w:hint="default"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监督抽查实施细则（202</w:t>
      </w:r>
      <w:r>
        <w:rPr>
          <w:rFonts w:hint="default" w:ascii="Times New Roman" w:hAnsi="Times New Roman" w:eastAsia="仿宋" w:cs="Times New Roman"/>
          <w:b/>
          <w:bCs/>
          <w:color w:val="000000"/>
          <w:sz w:val="44"/>
          <w:szCs w:val="44"/>
          <w:lang w:eastAsia="zh-CN"/>
        </w:rPr>
        <w:t>5</w:t>
      </w:r>
      <w:r>
        <w:rPr>
          <w:rFonts w:hint="eastAsia" w:ascii="Times New Roman" w:hAnsi="Times New Roman" w:eastAsia="仿宋" w:cs="Times New Roman"/>
          <w:b/>
          <w:bCs/>
          <w:color w:val="000000"/>
          <w:sz w:val="44"/>
          <w:szCs w:val="44"/>
          <w:lang w:eastAsia="zh-CN"/>
        </w:rPr>
        <w:t>年版）</w:t>
      </w:r>
    </w:p>
    <w:p>
      <w:pPr>
        <w:adjustRightInd w:val="0"/>
        <w:snapToGrid w:val="0"/>
        <w:spacing w:line="440" w:lineRule="exact"/>
        <w:jc w:val="center"/>
        <w:rPr>
          <w:rFonts w:eastAsia="仿宋"/>
          <w:b/>
          <w:bCs/>
          <w:sz w:val="36"/>
          <w:szCs w:val="36"/>
          <w:highlight w:val="lightGray"/>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抽查样品基数满足抽样数量即可。</w:t>
      </w:r>
    </w:p>
    <w:p>
      <w:pPr>
        <w:adjustRightInd w:val="0"/>
        <w:spacing w:line="460" w:lineRule="exact"/>
        <w:ind w:left="420" w:leftChars="200"/>
        <w:rPr>
          <w:rFonts w:hint="default" w:ascii="Times New Roman" w:hAnsi="Times New Roman" w:cs="Times New Roman"/>
          <w:color w:val="000000"/>
        </w:rPr>
      </w:pPr>
      <w:r>
        <w:rPr>
          <w:rFonts w:hint="default" w:ascii="Times New Roman" w:hAnsi="Times New Roman" w:cs="Times New Roman"/>
        </w:rPr>
        <w:t>抽样数量:每批次产品抽取样品60条，其中40条作为检验样品，20条作为备用样品。在满足检验的条件下，产品抽样数量可根据样品的实际大小做适当调整。</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rPr>
          <w:rFonts w:hint="default" w:ascii="Times New Roman" w:hAnsi="Times New Roman" w:cs="Times New Roman"/>
        </w:rPr>
      </w:pPr>
      <w:r>
        <w:rPr>
          <w:rFonts w:hint="default" w:ascii="Times New Roman" w:hAnsi="Times New Roman" w:cs="Times New Roman"/>
        </w:rPr>
        <w:t>食品用塑料编织袋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2923"/>
        <w:gridCol w:w="2144"/>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序号</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检验依据</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1</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感官要求</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2</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总迁移量</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3</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高锰酸钾消耗量</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4</w:t>
            </w:r>
          </w:p>
        </w:tc>
        <w:tc>
          <w:tcPr>
            <w:tcW w:w="1716" w:type="pct"/>
            <w:vAlign w:val="center"/>
          </w:tcPr>
          <w:p>
            <w:pPr>
              <w:spacing w:line="240" w:lineRule="auto"/>
              <w:ind w:firstLine="480"/>
              <w:jc w:val="center"/>
              <w:rPr>
                <w:rFonts w:hint="eastAsia" w:ascii="宋体" w:hAnsi="宋体" w:eastAsia="宋体" w:cs="宋体"/>
                <w:sz w:val="21"/>
                <w:szCs w:val="21"/>
              </w:rPr>
            </w:pPr>
            <w:r>
              <w:rPr>
                <w:rFonts w:hint="eastAsia" w:ascii="宋体" w:hAnsi="宋体" w:eastAsia="宋体" w:cs="宋体"/>
                <w:sz w:val="21"/>
                <w:szCs w:val="21"/>
              </w:rPr>
              <w:t>重金属(以Pb 计)</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bCs/>
                <w:sz w:val="21"/>
                <w:szCs w:val="21"/>
              </w:rPr>
            </w:pPr>
            <w:r>
              <w:rPr>
                <w:rFonts w:hint="eastAsia" w:ascii="宋体" w:hAnsi="宋体" w:eastAsia="宋体" w:cs="宋体"/>
                <w:bCs/>
                <w:sz w:val="21"/>
                <w:szCs w:val="21"/>
              </w:rPr>
              <w:t>5</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脱色试验</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rPr>
              <w:t>6</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芳香族伯胺迁移总量</w:t>
            </w:r>
          </w:p>
        </w:tc>
        <w:tc>
          <w:tcPr>
            <w:tcW w:w="1259"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4806.7-2023</w:t>
            </w:r>
          </w:p>
        </w:tc>
        <w:tc>
          <w:tcPr>
            <w:tcW w:w="1587" w:type="pct"/>
            <w:vAlign w:val="center"/>
          </w:tcPr>
          <w:p>
            <w:pPr>
              <w:adjustRightInd w:val="0"/>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剥离力</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经密度</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纬密度</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袋的单位面积质量偏差</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拉伸负荷</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12</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耐热性能</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38"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13</w:t>
            </w:r>
          </w:p>
        </w:tc>
        <w:tc>
          <w:tcPr>
            <w:tcW w:w="1716"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跌落性能</w:t>
            </w:r>
          </w:p>
        </w:tc>
        <w:tc>
          <w:tcPr>
            <w:tcW w:w="1259"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c>
          <w:tcPr>
            <w:tcW w:w="1587" w:type="pc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4"/>
            <w:vAlign w:val="center"/>
          </w:tcPr>
          <w:p>
            <w:pPr>
              <w:adjustRightInd w:val="0"/>
              <w:snapToGrid w:val="0"/>
              <w:spacing w:line="240" w:lineRule="auto"/>
              <w:rPr>
                <w:rFonts w:hint="eastAsia" w:ascii="宋体" w:hAnsi="宋体" w:eastAsia="宋体" w:cs="宋体"/>
                <w:color w:val="000000"/>
                <w:sz w:val="21"/>
                <w:szCs w:val="21"/>
              </w:rPr>
            </w:pPr>
            <w:r>
              <w:rPr>
                <w:rFonts w:hint="eastAsia" w:ascii="宋体" w:hAnsi="宋体" w:eastAsia="宋体" w:cs="宋体"/>
                <w:color w:val="000000"/>
                <w:sz w:val="21"/>
                <w:szCs w:val="21"/>
              </w:rPr>
              <w:t>注：1.芳香族伯胺迁移总量仅适用于生产日期在2024年9月6日及之后的、且含有芳香族异氰酸酯和偶氮类着色剂等可能产生芳香族伯胺类物质的产品。</w:t>
            </w:r>
          </w:p>
          <w:p>
            <w:pPr>
              <w:spacing w:line="240" w:lineRule="auto"/>
              <w:rPr>
                <w:rFonts w:hint="eastAsia" w:ascii="宋体" w:hAnsi="宋体" w:eastAsia="宋体" w:cs="宋体"/>
                <w:sz w:val="21"/>
                <w:szCs w:val="21"/>
              </w:rPr>
            </w:pPr>
            <w:r>
              <w:rPr>
                <w:rFonts w:hint="eastAsia" w:ascii="宋体" w:hAnsi="宋体" w:eastAsia="宋体" w:cs="宋体"/>
                <w:color w:val="000000"/>
                <w:sz w:val="21"/>
                <w:szCs w:val="21"/>
              </w:rPr>
              <w:t>2.</w:t>
            </w:r>
            <w:r>
              <w:rPr>
                <w:rFonts w:hint="eastAsia" w:ascii="宋体" w:hAnsi="宋体" w:eastAsia="宋体" w:cs="宋体"/>
                <w:sz w:val="21"/>
                <w:szCs w:val="21"/>
              </w:rPr>
              <w:t xml:space="preserve"> </w:t>
            </w:r>
            <w:r>
              <w:rPr>
                <w:rFonts w:hint="eastAsia" w:ascii="宋体" w:hAnsi="宋体" w:eastAsia="宋体" w:cs="宋体"/>
                <w:color w:val="000000"/>
                <w:sz w:val="21"/>
                <w:szCs w:val="21"/>
              </w:rPr>
              <w:t>脱色试验仅适用于添加了着色剂的产品。</w:t>
            </w:r>
          </w:p>
        </w:tc>
      </w:tr>
    </w:tbl>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物理指标项目根据产品标准及检测方法是否符合细则要求，确定此项目是否需要检测。</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8946-2013 塑料编织袋通用技术要求</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4806.7-2023  食品安全国家标准 食品接触用塑料材料及制品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00" w:lineRule="exact"/>
        <w:ind w:firstLine="420" w:firstLineChars="200"/>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snapToGrid w:val="0"/>
        <w:spacing w:line="400" w:lineRule="exact"/>
        <w:ind w:firstLine="417" w:firstLineChars="199"/>
        <w:rPr>
          <w:rFonts w:hint="default" w:ascii="Times New Roman" w:hAnsi="Times New Roman" w:cs="Times New Roman"/>
        </w:rPr>
      </w:pP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7" name="文本框 1"/>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wps:txbx>
                    <wps:bodyPr vert="horz" wrap="none" lIns="0" tIns="0" rIns="0" bIns="0" anchor="t" upright="true">
                      <a:spAutoFit/>
                    </wps:bodyPr>
                  </wps:wsp>
                </a:graphicData>
              </a:graphic>
            </wp:anchor>
          </w:drawing>
        </mc:Choice>
        <mc:Fallback>
          <w:pict>
            <v:rect id="文本框 1" o:spid="_x0000_s1026" o:spt="1"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IBDF2tEAAAACAQAADwAAAAAAAAABACAAAAA4AAAA&#10;ZHJzL2Rvd25yZXYueG1sUEsBAhQAFAAAAAgAh07iQGbXAvC/AQAAUAMAAA4AAAAAAAAAAQAgAAAA&#10;NgEAAGRycy9lMm9Eb2MueG1sUEsFBgAAAAAGAAYAWQEAAGcFA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4098" name="文本框 2"/>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wps:txbx>
                    <wps:bodyPr vert="horz" wrap="none" lIns="0" tIns="0" rIns="0" bIns="0" anchor="t" upright="true">
                      <a:spAutoFit/>
                    </wps:bodyPr>
                  </wps:wsp>
                </a:graphicData>
              </a:graphic>
            </wp:anchor>
          </w:drawing>
        </mc:Choice>
        <mc:Fallback>
          <w:pict>
            <v:rect id="文本框 2" o:spid="_x0000_s1026" o:spt="1"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CAQxdrRAAAAAgEAAA8AAAAAAAAAAQAgAAAAOAAAAGRy&#10;cy9kb3ducmV2LnhtbFBLAQIUABQAAAAIAIdO4kByoAZXvQEAAFADAAAOAAAAAAAAAAEAIAAAADYB&#10;AABkcnMvZTJvRG9jLnhtbFBLBQYAAAAABgAGAFkBAABlBQ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hYTExOTI3ZGJhYmUxZWY5OTFjNzM4MDYyZGIyZDUifQ=="/>
  </w:docVars>
  <w:rsids>
    <w:rsidRoot w:val="0011273E"/>
    <w:rsid w:val="00083DEB"/>
    <w:rsid w:val="0011273E"/>
    <w:rsid w:val="001C230A"/>
    <w:rsid w:val="003B673D"/>
    <w:rsid w:val="004366DD"/>
    <w:rsid w:val="0065350C"/>
    <w:rsid w:val="008D01D4"/>
    <w:rsid w:val="00EA64D1"/>
    <w:rsid w:val="00F7262E"/>
    <w:rsid w:val="147143AE"/>
    <w:rsid w:val="14F03AEF"/>
    <w:rsid w:val="209D2BCF"/>
    <w:rsid w:val="61547C91"/>
    <w:rsid w:val="A1F2F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qFormat/>
    <w:uiPriority w:val="99"/>
    <w:rPr>
      <w:rFonts w:ascii="Calibri" w:hAnsi="Calibri" w:eastAsia="宋体" w:cs="Calibri"/>
      <w:sz w:val="21"/>
      <w:szCs w:val="21"/>
    </w:rPr>
  </w:style>
  <w:style w:type="character" w:customStyle="1" w:styleId="11">
    <w:name w:val="批注框文本 字符"/>
    <w:link w:val="4"/>
    <w:qFormat/>
    <w:uiPriority w:val="99"/>
    <w:rPr>
      <w:rFonts w:ascii="Calibri" w:hAnsi="Calibri" w:eastAsia="宋体" w:cs="Calibri"/>
      <w:kern w:val="2"/>
      <w:sz w:val="18"/>
      <w:szCs w:val="18"/>
    </w:rPr>
  </w:style>
  <w:style w:type="character" w:customStyle="1" w:styleId="12">
    <w:name w:val="页脚 字符"/>
    <w:link w:val="5"/>
    <w:qFormat/>
    <w:uiPriority w:val="99"/>
    <w:rPr>
      <w:sz w:val="18"/>
      <w:szCs w:val="18"/>
    </w:rPr>
  </w:style>
  <w:style w:type="character" w:customStyle="1" w:styleId="13">
    <w:name w:val="页眉 字符"/>
    <w:link w:val="6"/>
    <w:qFormat/>
    <w:uiPriority w:val="99"/>
    <w:rPr>
      <w:sz w:val="18"/>
      <w:szCs w:val="18"/>
    </w:rPr>
  </w:style>
  <w:style w:type="paragraph" w:customStyle="1" w:styleId="14">
    <w:name w:val="修订1"/>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928</Words>
  <Characters>1262</Characters>
  <Lines>61</Lines>
  <Paragraphs>87</Paragraphs>
  <TotalTime>0</TotalTime>
  <ScaleCrop>false</ScaleCrop>
  <LinksUpToDate>false</LinksUpToDate>
  <CharactersWithSpaces>1299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2025-05-27T16:10:00Z</dcterms:created>
  <dc:creator>lenovo</dc:creator>
  <cp:lastModifiedBy>朱俊戎</cp:lastModifiedBy>
  <dcterms:modified xsi:type="dcterms:W3CDTF">2025-08-04T10:28:07Z</dcterms:modified>
  <dc:title>童鞋产品质量国家监督抽查实施细则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16f06f1593c044b8b85041059136875e_23</vt:lpwstr>
  </property>
  <property fmtid="{D5CDD505-2E9C-101B-9397-08002B2CF9AE}" pid="4" name="KSOTemplateDocerSaveRecord">
    <vt:lpwstr>eyJoZGlkIjoiMWRkMGY0OGUyMTkyOGY3YzMyMDU2MzE3ZTFmMTI1OGQifQ==</vt:lpwstr>
  </property>
</Properties>
</file>