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江西省婴幼儿用塑料奶瓶产品质量省级监督抽查实施细则（2025年版）</w:t>
      </w:r>
    </w:p>
    <w:p>
      <w:pPr>
        <w:adjustRightInd w:val="0"/>
        <w:snapToGrid w:val="0"/>
        <w:spacing w:line="440" w:lineRule="exact"/>
        <w:jc w:val="center"/>
        <w:rPr>
          <w:rFonts w:hint="default" w:ascii="Times New Roman" w:hAnsi="Times New Roman" w:eastAsia="仿宋" w:cs="Times New Roman"/>
          <w:b/>
          <w:bCs/>
          <w:sz w:val="36"/>
          <w:szCs w:val="36"/>
          <w:highlight w:val="lightGray"/>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如存在多个规格型号可以抽取的，应当明确样品抽取的优先原则。优先按以下原则抽取：（1）优先抽取有印刷、颜色较深、生产工艺较复杂的主导产品；（2）优先抽取S/V（表面积体积比）最大的产品（即相同工艺和形状中容积较小的产品）。</w:t>
      </w:r>
    </w:p>
    <w:p>
      <w:pPr>
        <w:adjustRightInd w:val="0"/>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抽查样品基数满足抽样数量即可。抽样数量详见表1。</w:t>
      </w:r>
    </w:p>
    <w:p>
      <w:pPr>
        <w:snapToGrid w:val="0"/>
        <w:spacing w:line="440" w:lineRule="exact"/>
        <w:jc w:val="center"/>
        <w:rPr>
          <w:rFonts w:hint="default" w:ascii="Times New Roman" w:hAnsi="Times New Roman" w:cs="Times New Roman"/>
          <w:color w:val="000000"/>
        </w:rPr>
      </w:pPr>
      <w:r>
        <w:rPr>
          <w:rFonts w:hint="default" w:ascii="Times New Roman" w:hAnsi="Times New Roman" w:cs="Times New Roman"/>
          <w:color w:val="000000"/>
        </w:rPr>
        <w:t>表1 抽取样品数量</w:t>
      </w:r>
    </w:p>
    <w:tbl>
      <w:tblPr>
        <w:tblStyle w:val="8"/>
        <w:tblW w:w="48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1623"/>
        <w:gridCol w:w="5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424"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序号</w:t>
            </w:r>
          </w:p>
        </w:tc>
        <w:tc>
          <w:tcPr>
            <w:tcW w:w="978"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产品名称</w:t>
            </w:r>
          </w:p>
        </w:tc>
        <w:tc>
          <w:tcPr>
            <w:tcW w:w="3599" w:type="pct"/>
            <w:tcBorders>
              <w:top w:val="single" w:color="auto" w:sz="4" w:space="0"/>
              <w:left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4"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1</w:t>
            </w:r>
          </w:p>
        </w:tc>
        <w:tc>
          <w:tcPr>
            <w:tcW w:w="978" w:type="pct"/>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婴幼儿用</w:t>
            </w:r>
          </w:p>
          <w:p>
            <w:pPr>
              <w:snapToGrid w:val="0"/>
              <w:spacing w:line="360" w:lineRule="exact"/>
              <w:jc w:val="center"/>
              <w:rPr>
                <w:rFonts w:hint="default" w:ascii="Times New Roman" w:hAnsi="Times New Roman" w:cs="Times New Roman"/>
              </w:rPr>
            </w:pPr>
            <w:r>
              <w:rPr>
                <w:rFonts w:hint="default" w:ascii="Times New Roman" w:hAnsi="Times New Roman" w:cs="Times New Roman"/>
              </w:rPr>
              <w:t>塑料奶瓶</w:t>
            </w:r>
          </w:p>
        </w:tc>
        <w:tc>
          <w:tcPr>
            <w:tcW w:w="3599" w:type="pct"/>
            <w:tcBorders>
              <w:top w:val="single" w:color="auto" w:sz="4" w:space="0"/>
              <w:left w:val="single" w:color="auto" w:sz="4" w:space="0"/>
              <w:right w:val="single" w:color="auto" w:sz="4" w:space="0"/>
            </w:tcBorders>
            <w:vAlign w:val="center"/>
          </w:tcPr>
          <w:p>
            <w:pPr>
              <w:snapToGrid w:val="0"/>
              <w:spacing w:line="360" w:lineRule="exact"/>
              <w:rPr>
                <w:rFonts w:hint="default" w:ascii="Times New Roman" w:hAnsi="Times New Roman" w:cs="Times New Roman"/>
              </w:rPr>
            </w:pPr>
            <w:r>
              <w:rPr>
                <w:rFonts w:hint="default" w:ascii="Times New Roman" w:hAnsi="Times New Roman" w:cs="Times New Roman"/>
              </w:rPr>
              <w:t>抽取样品10个，其中8个作为检验样品，2个作为备用样品。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3"/>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cs="Times New Roman"/>
                <w:sz w:val="18"/>
                <w:szCs w:val="18"/>
              </w:rPr>
            </w:pPr>
            <w:r>
              <w:rPr>
                <w:rFonts w:hint="default" w:ascii="Times New Roman" w:hAnsi="Times New Roman" w:cs="Times New Roman"/>
                <w:sz w:val="18"/>
                <w:szCs w:val="18"/>
              </w:rPr>
              <w:t>注：产品抽样数量可根据样品的实际大小，在满足检验的条件下做适当调整。</w:t>
            </w:r>
          </w:p>
        </w:tc>
      </w:tr>
    </w:tbl>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jc w:val="center"/>
        <w:rPr>
          <w:rFonts w:hint="default" w:ascii="Times New Roman" w:hAnsi="Times New Roman" w:cs="Times New Roman"/>
        </w:rPr>
      </w:pPr>
      <w:r>
        <w:rPr>
          <w:rFonts w:hint="default" w:ascii="Times New Roman" w:hAnsi="Times New Roman" w:cs="Times New Roman"/>
        </w:rPr>
        <w:t>表2 婴幼儿用塑料奶瓶</w:t>
      </w:r>
    </w:p>
    <w:tbl>
      <w:tblPr>
        <w:tblStyle w:val="8"/>
        <w:tblW w:w="48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2974"/>
        <w:gridCol w:w="1972"/>
        <w:gridCol w:w="2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序号</w:t>
            </w:r>
          </w:p>
        </w:tc>
        <w:tc>
          <w:tcPr>
            <w:tcW w:w="35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检验项目</w:t>
            </w:r>
          </w:p>
        </w:tc>
        <w:tc>
          <w:tcPr>
            <w:tcW w:w="213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检验依据</w:t>
            </w:r>
          </w:p>
        </w:tc>
        <w:tc>
          <w:tcPr>
            <w:tcW w:w="2820"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1</w:t>
            </w:r>
          </w:p>
        </w:tc>
        <w:tc>
          <w:tcPr>
            <w:tcW w:w="35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感官要求</w:t>
            </w:r>
          </w:p>
        </w:tc>
        <w:tc>
          <w:tcPr>
            <w:tcW w:w="213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4806.7-2023</w:t>
            </w:r>
          </w:p>
        </w:tc>
        <w:tc>
          <w:tcPr>
            <w:tcW w:w="2820"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2</w:t>
            </w:r>
          </w:p>
        </w:tc>
        <w:tc>
          <w:tcPr>
            <w:tcW w:w="35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总迁移量</w:t>
            </w:r>
          </w:p>
        </w:tc>
        <w:tc>
          <w:tcPr>
            <w:tcW w:w="213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4806.7-2023</w:t>
            </w:r>
          </w:p>
        </w:tc>
        <w:tc>
          <w:tcPr>
            <w:tcW w:w="2820"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3</w:t>
            </w:r>
          </w:p>
        </w:tc>
        <w:tc>
          <w:tcPr>
            <w:tcW w:w="35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高锰酸钾消耗量</w:t>
            </w:r>
          </w:p>
        </w:tc>
        <w:tc>
          <w:tcPr>
            <w:tcW w:w="213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4806.7-2023</w:t>
            </w:r>
          </w:p>
        </w:tc>
        <w:tc>
          <w:tcPr>
            <w:tcW w:w="2820"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 xml:space="preserve">GB 31604.2-2016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4</w:t>
            </w:r>
          </w:p>
        </w:tc>
        <w:tc>
          <w:tcPr>
            <w:tcW w:w="35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重金属（以Pb计）</w:t>
            </w:r>
          </w:p>
        </w:tc>
        <w:tc>
          <w:tcPr>
            <w:tcW w:w="213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4806.7-2023</w:t>
            </w:r>
          </w:p>
        </w:tc>
        <w:tc>
          <w:tcPr>
            <w:tcW w:w="2820"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 xml:space="preserve">GB 31604.9-2016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5</w:t>
            </w:r>
          </w:p>
        </w:tc>
        <w:tc>
          <w:tcPr>
            <w:tcW w:w="35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芳香族伯胺迁移总量</w:t>
            </w:r>
          </w:p>
        </w:tc>
        <w:tc>
          <w:tcPr>
            <w:tcW w:w="213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4806.7-2023</w:t>
            </w:r>
          </w:p>
        </w:tc>
        <w:tc>
          <w:tcPr>
            <w:tcW w:w="2820"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75"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6</w:t>
            </w:r>
          </w:p>
        </w:tc>
        <w:tc>
          <w:tcPr>
            <w:tcW w:w="3542"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 xml:space="preserve">脱色试验（限添加了着色剂的产品） </w:t>
            </w:r>
          </w:p>
        </w:tc>
        <w:tc>
          <w:tcPr>
            <w:tcW w:w="2139"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4806.7-2023</w:t>
            </w:r>
          </w:p>
        </w:tc>
        <w:tc>
          <w:tcPr>
            <w:tcW w:w="2820" w:type="dxa"/>
            <w:tcBorders>
              <w:top w:val="single" w:color="auto" w:sz="4" w:space="0"/>
              <w:left w:val="single" w:color="auto" w:sz="4" w:space="0"/>
              <w:bottom w:val="single" w:color="auto" w:sz="4" w:space="0"/>
              <w:right w:val="single" w:color="auto" w:sz="4" w:space="0"/>
            </w:tcBorders>
            <w:vAlign w:val="center"/>
          </w:tcPr>
          <w:p>
            <w:pPr>
              <w:snapToGrid w:val="0"/>
              <w:spacing w:line="360" w:lineRule="exact"/>
              <w:jc w:val="center"/>
              <w:rPr>
                <w:rFonts w:hint="default" w:ascii="Times New Roman" w:hAnsi="Times New Roman" w:cs="Times New Roman"/>
              </w:rPr>
            </w:pPr>
            <w:r>
              <w:rPr>
                <w:rFonts w:hint="default" w:ascii="Times New Roman" w:hAnsi="Times New Roman" w:cs="Times New Roman"/>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jc w:val="center"/>
        </w:trPr>
        <w:tc>
          <w:tcPr>
            <w:tcW w:w="9376"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default" w:ascii="Times New Roman" w:hAnsi="Times New Roman" w:cs="Times New Roman"/>
                <w:bCs/>
                <w:sz w:val="18"/>
                <w:szCs w:val="18"/>
              </w:rPr>
            </w:pPr>
            <w:r>
              <w:rPr>
                <w:rFonts w:hint="default" w:ascii="Times New Roman" w:hAnsi="Times New Roman" w:cs="Times New Roman"/>
                <w:bCs/>
                <w:sz w:val="18"/>
                <w:szCs w:val="18"/>
              </w:rPr>
              <w:t>注：1. 因流通领域抽样时无法让生产企业确定产品的预期使用情况，故流通领域抽取的婴幼儿用奶瓶产品迁移条件均按照50%乙醇，40℃，24h，重复进行三次实验。</w:t>
            </w:r>
          </w:p>
          <w:p>
            <w:pPr>
              <w:spacing w:line="240" w:lineRule="exact"/>
              <w:ind w:firstLine="270" w:firstLineChars="150"/>
              <w:jc w:val="left"/>
              <w:rPr>
                <w:rFonts w:hint="default" w:ascii="Times New Roman" w:hAnsi="Times New Roman" w:cs="Times New Roman"/>
                <w:bCs/>
                <w:sz w:val="18"/>
                <w:szCs w:val="18"/>
              </w:rPr>
            </w:pPr>
            <w:r>
              <w:rPr>
                <w:rFonts w:hint="default" w:ascii="Times New Roman" w:hAnsi="Times New Roman" w:cs="Times New Roman"/>
                <w:bCs/>
                <w:sz w:val="18"/>
                <w:szCs w:val="18"/>
              </w:rPr>
              <w:t>2.高锰酸钾消耗量不适用生产日期在2024年9月6日之后的、且淀粉含量≥40%的淀粉基塑料材料及制品。</w:t>
            </w:r>
          </w:p>
          <w:p>
            <w:pPr>
              <w:spacing w:line="240" w:lineRule="exact"/>
              <w:ind w:firstLine="270" w:firstLineChars="150"/>
              <w:jc w:val="left"/>
              <w:rPr>
                <w:rFonts w:hint="default" w:ascii="Times New Roman" w:hAnsi="Times New Roman" w:cs="Times New Roman"/>
                <w:color w:val="000000"/>
              </w:rPr>
            </w:pPr>
            <w:r>
              <w:rPr>
                <w:rFonts w:hint="default" w:ascii="Times New Roman" w:hAnsi="Times New Roman" w:cs="Times New Roman"/>
                <w:bCs/>
                <w:sz w:val="18"/>
                <w:szCs w:val="18"/>
              </w:rPr>
              <w:t>3.芳香族伯胺迁移总量仅适用于生产日期在2024年9月6日及之后的、且含有芳香族异氰酸酯和偶氮类着色剂等可能产生芳香族伯胺类物质的产品。</w:t>
            </w:r>
          </w:p>
        </w:tc>
      </w:tr>
    </w:tbl>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 38995-2020  婴幼儿用奶瓶和奶嘴</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 xml:space="preserve">GB 4806.7-2023  食品安全国家标准 食品接触用塑料材料及制品 </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snapToGrid w:val="0"/>
        <w:spacing w:line="400" w:lineRule="exact"/>
        <w:ind w:firstLine="420" w:firstLineChars="200"/>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p>
      <w:pPr>
        <w:snapToGrid w:val="0"/>
        <w:spacing w:line="400" w:lineRule="exact"/>
        <w:ind w:firstLine="417" w:firstLineChars="199"/>
        <w:rPr>
          <w:rFonts w:hint="default" w:ascii="Times New Roman" w:hAnsi="Times New Roman" w:cs="Times New Roman"/>
        </w:rPr>
      </w:pP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910371744"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hint="eastAsia" w:eastAsia="宋体" w:cs="Calibri"/>
                            </w:rPr>
                          </w:pPr>
                          <w:r>
                            <w:fldChar w:fldCharType="begin"/>
                          </w:r>
                          <w:r>
                            <w:instrText xml:space="preserve"> PAGE  \* MERGEFORMAT </w:instrText>
                          </w:r>
                          <w:r>
                            <w:fldChar w:fldCharType="separate"/>
                          </w:r>
                          <w:r>
                            <w:t>3</w:t>
                          </w:r>
                          <w:r>
                            <w:fldChar w:fldCharType="end"/>
                          </w:r>
                        </w:p>
                      </w:txbxContent>
                    </wps:txbx>
                    <wps:bodyPr rot="0"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zG9x7P4BAADJAwAADgAAAGRy&#10;cy9lMm9Eb2MueG1srVPNjtMwEL4j8Q6W7zRJt7vLRk1Xy66KkJYfaeEBpo7TRCQea+w2WR4A3oAT&#10;F+48V5+DsdOWAjfExRrb42+++ebz/HroWrHV5Bo0hcwmqRTaKCwbsy7kh/fLZ8+lcB5MCS0aXchH&#10;7eT14umTeW9zPcUa21KTYBDj8t4Wsvbe5kniVK07cBO02vBlhdSB5y2tk5KgZ/SuTaZpepH0SKUl&#10;VNo5Pr0bL+Ui4leVVv5tVTntRVtI5ubjSnFdhTVZzCFfE9i6UXsa8A8sOmgMFz1C3YEHsaHmL6iu&#10;UYQOKz9R2CVYVY3SsQfuJkv/6OahBqtjLyyOs0eZ3P+DVW+270g0Jc/uKkvPLrPL2UwKAx3Pavf1&#10;y+7bj933zyILOvXW5Zz+YPmBH17gUEhPm8APcmfvUX10wuBtDWatb4iwrzWUTDUm8fvkBGBEcwFq&#10;1b/GkqvBxmPEGirqAiaLI7gGT+3xOCk9eKH48CI9m55LofgmO59dzeIgE8gPby05/1JjJ0JQSGIf&#10;RGzY3jsfuEB+SAmlDC6bto1eaM1vB5wYTiL3QHck7ofVsFdkheUjd0E4Wou/Agc10icperZVIQ37&#10;Xor2lWEpggMPAR2C1SEAo/ghCybFGN563lXQOgbYWGrWNWOfaH7Dki2b2E/QdqSyJ8t+iW3uvR0M&#10;ebqPWb9+4O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eo0nyNEAAAACAQAADwAAAAAAAAABACAA&#10;AAA4AAAAZHJzL2Rvd25yZXYueG1sUEsBAhQAFAAAAAgAh07iQMxvcez+AQAAyQMAAA4AAAAAAAAA&#10;AQAgAAAANgEAAGRycy9lMm9Eb2MueG1sUEsFBgAAAAAGAAYAWQEAAKYFAAAAAA==&#10;">
              <v:fill on="f" focussize="0,0"/>
              <v:stroke on="f"/>
              <v:imagedata o:title=""/>
              <o:lock v:ext="edit" aspectratio="f"/>
              <v:textbox inset="0mm,0mm,0mm,0mm" style="mso-fit-shape-to-text:t;">
                <w:txbxContent>
                  <w:p>
                    <w:pPr>
                      <w:pStyle w:val="6"/>
                      <w:rPr>
                        <w:rFonts w:hint="eastAsia" w:eastAsia="宋体" w:cs="Calibri"/>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683130827"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hint="eastAsia" w:eastAsia="宋体" w:cs="Calibri"/>
                            </w:rPr>
                          </w:pPr>
                          <w:r>
                            <w:fldChar w:fldCharType="begin"/>
                          </w:r>
                          <w:r>
                            <w:instrText xml:space="preserve"> PAGE  \* MERGEFORMAT </w:instrText>
                          </w:r>
                          <w:r>
                            <w:fldChar w:fldCharType="separate"/>
                          </w:r>
                          <w:r>
                            <w:t>1</w:t>
                          </w:r>
                          <w: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hf5/7P0BAADIAwAADgAAAGRy&#10;cy9lMm9Eb2MueG1srVPNjtMwEL4j8Q6W7zRpu1tK1HS17KoIafmRFh5g6jhNROKxxm6T5QHgDfbE&#10;hTvP1edg7LSlwA1xscbj8TfffP68uOrbRuw0uRpNLsejVAptFBa12eTy44fVs7kUzoMpoEGjc/mg&#10;nbxaPn2y6GymJ1hhU2gSDGJc1tlcVt7bLEmcqnQLboRWGz4skVrwvKVNUhB0jN42ySRNZ0mHVFhC&#10;pZ3j7O1wKJcRvyy18u/K0mkvmlwyNx9Xius6rMlyAdmGwFa1OtCAf2DRQm246QnqFjyILdV/QbW1&#10;InRY+pHCNsGyrJWOM/A04/SPae4rsDrOwuI4e5LJ/T9Y9Xb3nkRd5HI2n46n6XzyXAoDLT/V/vHr&#10;/tuP/fcvYhJk6qzLuPrecr3vX2KfS0/bQA8yZ+9QfXLC4E0FZqOvibCrNBTMNBbx/eQMYEBzAWrd&#10;vcGCu8HWY8TqS2oDJmsjuAc/2sPpoXTvheLkLJ1OLqVQfDK+vHhxEd8xgex415LzrzS2IgS5JLZB&#10;xIbdnfOBC2THktDK4KpummiFxvyW4MKQidwD3YG479f9QZE1Fg88BeHgLP4JHFRIn6Xo2FW5NGx7&#10;KZrXhqUIBjwGdAzWxwCM4ossmBRDeON5V0LjGGBrqd5UjH2m+TVLtqrjPEHbgcqBLNsljnmwdvDj&#10;+T5W/fqAy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6jSfI0QAAAAIBAAAPAAAAAAAAAAEAIAAA&#10;ADgAAABkcnMvZG93bnJldi54bWxQSwECFAAUAAAACACHTuJAhf5/7P0BAADIAwAADgAAAAAAAAAB&#10;ACAAAAA2AQAAZHJzL2Uyb0RvYy54bWxQSwUGAAAAAAYABgBZAQAApQUAAAAA&#10;">
              <v:fill on="f" focussize="0,0"/>
              <v:stroke on="f"/>
              <v:imagedata o:title=""/>
              <o:lock v:ext="edit" aspectratio="f"/>
              <v:textbox inset="0mm,0mm,0mm,0mm" style="mso-fit-shape-to-text:t;">
                <w:txbxContent>
                  <w:p>
                    <w:pPr>
                      <w:pStyle w:val="6"/>
                      <w:rPr>
                        <w:rFonts w:hint="eastAsia" w:eastAsia="宋体" w:cs="Calibri"/>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wODViY2ViZWQ4YmRiMTI4MzMxMjFkNGVlMDY5NzQifQ=="/>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16680"/>
    <w:rsid w:val="00116785"/>
    <w:rsid w:val="0011788A"/>
    <w:rsid w:val="001233E8"/>
    <w:rsid w:val="001263E2"/>
    <w:rsid w:val="00126F7D"/>
    <w:rsid w:val="0012758A"/>
    <w:rsid w:val="00132024"/>
    <w:rsid w:val="00133864"/>
    <w:rsid w:val="00133CF7"/>
    <w:rsid w:val="00146044"/>
    <w:rsid w:val="0015082A"/>
    <w:rsid w:val="00152247"/>
    <w:rsid w:val="00156FFE"/>
    <w:rsid w:val="00166831"/>
    <w:rsid w:val="00171EEA"/>
    <w:rsid w:val="00172551"/>
    <w:rsid w:val="001750B5"/>
    <w:rsid w:val="00176127"/>
    <w:rsid w:val="0018595F"/>
    <w:rsid w:val="00193CBC"/>
    <w:rsid w:val="001A2B92"/>
    <w:rsid w:val="001B54E5"/>
    <w:rsid w:val="001B5B00"/>
    <w:rsid w:val="001C230A"/>
    <w:rsid w:val="001C34B9"/>
    <w:rsid w:val="001C45A3"/>
    <w:rsid w:val="001C52E2"/>
    <w:rsid w:val="001D13D3"/>
    <w:rsid w:val="001E38FE"/>
    <w:rsid w:val="001E66E7"/>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C31C5"/>
    <w:rsid w:val="002D05EB"/>
    <w:rsid w:val="002D73B3"/>
    <w:rsid w:val="002D7FE6"/>
    <w:rsid w:val="002E3C03"/>
    <w:rsid w:val="002E3F7F"/>
    <w:rsid w:val="002F7E59"/>
    <w:rsid w:val="00303414"/>
    <w:rsid w:val="00312ECE"/>
    <w:rsid w:val="003160F2"/>
    <w:rsid w:val="003167E0"/>
    <w:rsid w:val="00321205"/>
    <w:rsid w:val="00326242"/>
    <w:rsid w:val="00333A0D"/>
    <w:rsid w:val="0034396F"/>
    <w:rsid w:val="0035424B"/>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0473B"/>
    <w:rsid w:val="00425172"/>
    <w:rsid w:val="00425403"/>
    <w:rsid w:val="004375FD"/>
    <w:rsid w:val="00437974"/>
    <w:rsid w:val="004465D6"/>
    <w:rsid w:val="00453130"/>
    <w:rsid w:val="00462456"/>
    <w:rsid w:val="00463FAE"/>
    <w:rsid w:val="00463FC1"/>
    <w:rsid w:val="00481EAB"/>
    <w:rsid w:val="00487378"/>
    <w:rsid w:val="00493C6E"/>
    <w:rsid w:val="004A7140"/>
    <w:rsid w:val="004A75EE"/>
    <w:rsid w:val="004B5F9D"/>
    <w:rsid w:val="004D5D4E"/>
    <w:rsid w:val="004D5F41"/>
    <w:rsid w:val="004E5C4C"/>
    <w:rsid w:val="004E7AB4"/>
    <w:rsid w:val="004F0585"/>
    <w:rsid w:val="004F1A7A"/>
    <w:rsid w:val="004F7A18"/>
    <w:rsid w:val="0050716C"/>
    <w:rsid w:val="00510E23"/>
    <w:rsid w:val="00513EC4"/>
    <w:rsid w:val="005338CF"/>
    <w:rsid w:val="0054021E"/>
    <w:rsid w:val="00540922"/>
    <w:rsid w:val="0054269A"/>
    <w:rsid w:val="00546122"/>
    <w:rsid w:val="0056672E"/>
    <w:rsid w:val="0057124C"/>
    <w:rsid w:val="0059024C"/>
    <w:rsid w:val="005B048C"/>
    <w:rsid w:val="005B55D2"/>
    <w:rsid w:val="005C6AFD"/>
    <w:rsid w:val="005C7001"/>
    <w:rsid w:val="006073DB"/>
    <w:rsid w:val="00617A0B"/>
    <w:rsid w:val="00625931"/>
    <w:rsid w:val="00626741"/>
    <w:rsid w:val="00637112"/>
    <w:rsid w:val="00642B48"/>
    <w:rsid w:val="0064413B"/>
    <w:rsid w:val="00646F8C"/>
    <w:rsid w:val="00647A4F"/>
    <w:rsid w:val="00647B3E"/>
    <w:rsid w:val="00647F58"/>
    <w:rsid w:val="006527CA"/>
    <w:rsid w:val="00652CBC"/>
    <w:rsid w:val="006551AB"/>
    <w:rsid w:val="006568FC"/>
    <w:rsid w:val="00660B4B"/>
    <w:rsid w:val="00661D48"/>
    <w:rsid w:val="006634C5"/>
    <w:rsid w:val="0067032D"/>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56DC0"/>
    <w:rsid w:val="0076250A"/>
    <w:rsid w:val="007A6ABF"/>
    <w:rsid w:val="007B11EF"/>
    <w:rsid w:val="007B4063"/>
    <w:rsid w:val="007B6126"/>
    <w:rsid w:val="007B7635"/>
    <w:rsid w:val="007C56E7"/>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4783"/>
    <w:rsid w:val="00865DB7"/>
    <w:rsid w:val="008700CA"/>
    <w:rsid w:val="00871868"/>
    <w:rsid w:val="00871D2E"/>
    <w:rsid w:val="0087456B"/>
    <w:rsid w:val="008750E0"/>
    <w:rsid w:val="0088051E"/>
    <w:rsid w:val="00881153"/>
    <w:rsid w:val="008846B4"/>
    <w:rsid w:val="008918B9"/>
    <w:rsid w:val="00894707"/>
    <w:rsid w:val="00897921"/>
    <w:rsid w:val="008A7FDD"/>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59A7"/>
    <w:rsid w:val="00950285"/>
    <w:rsid w:val="00952820"/>
    <w:rsid w:val="0095454F"/>
    <w:rsid w:val="009552B0"/>
    <w:rsid w:val="00963C41"/>
    <w:rsid w:val="00965DA1"/>
    <w:rsid w:val="009814B1"/>
    <w:rsid w:val="0098564E"/>
    <w:rsid w:val="009B5A56"/>
    <w:rsid w:val="009B6CC1"/>
    <w:rsid w:val="009C58A2"/>
    <w:rsid w:val="009D0732"/>
    <w:rsid w:val="009D0EEB"/>
    <w:rsid w:val="009D1E46"/>
    <w:rsid w:val="009D6100"/>
    <w:rsid w:val="009E1F1B"/>
    <w:rsid w:val="009F2F59"/>
    <w:rsid w:val="009F3497"/>
    <w:rsid w:val="00A00835"/>
    <w:rsid w:val="00A02F9C"/>
    <w:rsid w:val="00A108D1"/>
    <w:rsid w:val="00A11828"/>
    <w:rsid w:val="00A12277"/>
    <w:rsid w:val="00A21EBC"/>
    <w:rsid w:val="00A472CA"/>
    <w:rsid w:val="00A510DF"/>
    <w:rsid w:val="00A5360F"/>
    <w:rsid w:val="00A55EE0"/>
    <w:rsid w:val="00A72DF9"/>
    <w:rsid w:val="00A87049"/>
    <w:rsid w:val="00A87B03"/>
    <w:rsid w:val="00A92DBB"/>
    <w:rsid w:val="00A93E86"/>
    <w:rsid w:val="00AA4D2B"/>
    <w:rsid w:val="00AD207F"/>
    <w:rsid w:val="00AD214F"/>
    <w:rsid w:val="00AD519B"/>
    <w:rsid w:val="00AE2BAD"/>
    <w:rsid w:val="00AE3888"/>
    <w:rsid w:val="00AE44AD"/>
    <w:rsid w:val="00AE44CF"/>
    <w:rsid w:val="00AE45F8"/>
    <w:rsid w:val="00AE5DF7"/>
    <w:rsid w:val="00AF26C8"/>
    <w:rsid w:val="00AF53A0"/>
    <w:rsid w:val="00AF7FD3"/>
    <w:rsid w:val="00B02990"/>
    <w:rsid w:val="00B045D2"/>
    <w:rsid w:val="00B11F99"/>
    <w:rsid w:val="00B138C5"/>
    <w:rsid w:val="00B23BC1"/>
    <w:rsid w:val="00B36F66"/>
    <w:rsid w:val="00B47B99"/>
    <w:rsid w:val="00B54A71"/>
    <w:rsid w:val="00B57C43"/>
    <w:rsid w:val="00B6740F"/>
    <w:rsid w:val="00B6788A"/>
    <w:rsid w:val="00B70A1A"/>
    <w:rsid w:val="00B819AE"/>
    <w:rsid w:val="00B85F04"/>
    <w:rsid w:val="00B919C3"/>
    <w:rsid w:val="00B92DAB"/>
    <w:rsid w:val="00B949CB"/>
    <w:rsid w:val="00BB2252"/>
    <w:rsid w:val="00BB35FA"/>
    <w:rsid w:val="00BB6923"/>
    <w:rsid w:val="00BB6D65"/>
    <w:rsid w:val="00BC2F8E"/>
    <w:rsid w:val="00BC5EAA"/>
    <w:rsid w:val="00BC666B"/>
    <w:rsid w:val="00BD14F0"/>
    <w:rsid w:val="00BE2A30"/>
    <w:rsid w:val="00BE3940"/>
    <w:rsid w:val="00BF7F7D"/>
    <w:rsid w:val="00C10139"/>
    <w:rsid w:val="00C20920"/>
    <w:rsid w:val="00C35A59"/>
    <w:rsid w:val="00C40F57"/>
    <w:rsid w:val="00C45860"/>
    <w:rsid w:val="00C4618E"/>
    <w:rsid w:val="00C46ED4"/>
    <w:rsid w:val="00C5059E"/>
    <w:rsid w:val="00C525DC"/>
    <w:rsid w:val="00C533C0"/>
    <w:rsid w:val="00C56DEB"/>
    <w:rsid w:val="00C57846"/>
    <w:rsid w:val="00C63048"/>
    <w:rsid w:val="00C70A29"/>
    <w:rsid w:val="00C72BE6"/>
    <w:rsid w:val="00C80701"/>
    <w:rsid w:val="00C80ADD"/>
    <w:rsid w:val="00C814AB"/>
    <w:rsid w:val="00C820A1"/>
    <w:rsid w:val="00C84D1B"/>
    <w:rsid w:val="00CA7DD9"/>
    <w:rsid w:val="00CB1BAE"/>
    <w:rsid w:val="00CB2060"/>
    <w:rsid w:val="00CB65B2"/>
    <w:rsid w:val="00CB6D4F"/>
    <w:rsid w:val="00CC5986"/>
    <w:rsid w:val="00CC797E"/>
    <w:rsid w:val="00CE149D"/>
    <w:rsid w:val="00CE67F6"/>
    <w:rsid w:val="00CE754F"/>
    <w:rsid w:val="00D045CA"/>
    <w:rsid w:val="00D05DF5"/>
    <w:rsid w:val="00D109EA"/>
    <w:rsid w:val="00D15882"/>
    <w:rsid w:val="00D16E10"/>
    <w:rsid w:val="00D2003B"/>
    <w:rsid w:val="00D5405B"/>
    <w:rsid w:val="00D547FC"/>
    <w:rsid w:val="00D5595D"/>
    <w:rsid w:val="00D6052D"/>
    <w:rsid w:val="00D70122"/>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893"/>
    <w:rsid w:val="00E65D5B"/>
    <w:rsid w:val="00E67210"/>
    <w:rsid w:val="00E70EB9"/>
    <w:rsid w:val="00E72DAD"/>
    <w:rsid w:val="00E9520D"/>
    <w:rsid w:val="00EA3055"/>
    <w:rsid w:val="00EA330E"/>
    <w:rsid w:val="00EB3FC5"/>
    <w:rsid w:val="00EC13D8"/>
    <w:rsid w:val="00EC41A3"/>
    <w:rsid w:val="00ED2798"/>
    <w:rsid w:val="00ED5B30"/>
    <w:rsid w:val="00EE5CAD"/>
    <w:rsid w:val="00EF0338"/>
    <w:rsid w:val="00EF0F94"/>
    <w:rsid w:val="00EF2C5F"/>
    <w:rsid w:val="00EF2ED5"/>
    <w:rsid w:val="00EF4A02"/>
    <w:rsid w:val="00F06D6F"/>
    <w:rsid w:val="00F07397"/>
    <w:rsid w:val="00F173F5"/>
    <w:rsid w:val="00F30E64"/>
    <w:rsid w:val="00F346CB"/>
    <w:rsid w:val="00F37CDF"/>
    <w:rsid w:val="00F40B52"/>
    <w:rsid w:val="00F440C6"/>
    <w:rsid w:val="00F50DA1"/>
    <w:rsid w:val="00F544C7"/>
    <w:rsid w:val="00F60BEE"/>
    <w:rsid w:val="00F61911"/>
    <w:rsid w:val="00F653C4"/>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3C4452"/>
    <w:rsid w:val="029706AC"/>
    <w:rsid w:val="02CD4683"/>
    <w:rsid w:val="06C12F83"/>
    <w:rsid w:val="0A0707D1"/>
    <w:rsid w:val="0E9E49E6"/>
    <w:rsid w:val="11E35B9E"/>
    <w:rsid w:val="17E4768B"/>
    <w:rsid w:val="1AF92F65"/>
    <w:rsid w:val="1B8B1A92"/>
    <w:rsid w:val="1BBD3130"/>
    <w:rsid w:val="1C4007A0"/>
    <w:rsid w:val="1C686482"/>
    <w:rsid w:val="1CCF0A4E"/>
    <w:rsid w:val="1CF27448"/>
    <w:rsid w:val="218C572C"/>
    <w:rsid w:val="26096525"/>
    <w:rsid w:val="2741061E"/>
    <w:rsid w:val="283468FF"/>
    <w:rsid w:val="2A2E52DB"/>
    <w:rsid w:val="2E2F49AB"/>
    <w:rsid w:val="2EB77514"/>
    <w:rsid w:val="2F2D6EF1"/>
    <w:rsid w:val="334F23E4"/>
    <w:rsid w:val="33B44FB3"/>
    <w:rsid w:val="37085CD4"/>
    <w:rsid w:val="37217F87"/>
    <w:rsid w:val="3A6E159B"/>
    <w:rsid w:val="3CAC1730"/>
    <w:rsid w:val="3DB64099"/>
    <w:rsid w:val="3DE24FE8"/>
    <w:rsid w:val="40C51B17"/>
    <w:rsid w:val="40D2476E"/>
    <w:rsid w:val="40FC7D2A"/>
    <w:rsid w:val="41DC6C13"/>
    <w:rsid w:val="42B745D5"/>
    <w:rsid w:val="47154AA7"/>
    <w:rsid w:val="48121517"/>
    <w:rsid w:val="48D121E8"/>
    <w:rsid w:val="4B4C6909"/>
    <w:rsid w:val="4E4A12EF"/>
    <w:rsid w:val="4EE71B56"/>
    <w:rsid w:val="4F3A3DF2"/>
    <w:rsid w:val="5192021D"/>
    <w:rsid w:val="53901ECC"/>
    <w:rsid w:val="53F323D0"/>
    <w:rsid w:val="55327046"/>
    <w:rsid w:val="57041A0F"/>
    <w:rsid w:val="573F7409"/>
    <w:rsid w:val="57C31F1C"/>
    <w:rsid w:val="58826208"/>
    <w:rsid w:val="59D9671C"/>
    <w:rsid w:val="5D014D35"/>
    <w:rsid w:val="5DDF7D9D"/>
    <w:rsid w:val="5E0C0459"/>
    <w:rsid w:val="60DC7E75"/>
    <w:rsid w:val="61FD4BD6"/>
    <w:rsid w:val="6BC42A4A"/>
    <w:rsid w:val="6E2C7E5B"/>
    <w:rsid w:val="6EBC53D5"/>
    <w:rsid w:val="71646B09"/>
    <w:rsid w:val="7BC24773"/>
    <w:rsid w:val="7CAC402C"/>
    <w:rsid w:val="7D8D3D7E"/>
    <w:rsid w:val="7E7C27FD"/>
    <w:rsid w:val="7E9A5CD6"/>
    <w:rsid w:val="7F7C5387"/>
    <w:rsid w:val="DE5F5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annotation text"/>
    <w:basedOn w:val="1"/>
    <w:link w:val="10"/>
    <w:semiHidden/>
    <w:qFormat/>
    <w:uiPriority w:val="99"/>
    <w:pPr>
      <w:jc w:val="left"/>
    </w:pPr>
    <w:rPr>
      <w:kern w:val="0"/>
    </w:rPr>
  </w:style>
  <w:style w:type="paragraph" w:styleId="5">
    <w:name w:val="Balloon Text"/>
    <w:basedOn w:val="1"/>
    <w:link w:val="11"/>
    <w:semiHidden/>
    <w:qFormat/>
    <w:uiPriority w:val="99"/>
    <w:rPr>
      <w:sz w:val="18"/>
      <w:szCs w:val="18"/>
    </w:rPr>
  </w:style>
  <w:style w:type="paragraph" w:styleId="6">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character" w:customStyle="1" w:styleId="10">
    <w:name w:val="批注文字 字符"/>
    <w:link w:val="4"/>
    <w:semiHidden/>
    <w:qFormat/>
    <w:locked/>
    <w:uiPriority w:val="99"/>
    <w:rPr>
      <w:rFonts w:ascii="Calibri" w:hAnsi="Calibri" w:eastAsia="宋体" w:cs="Calibri"/>
      <w:sz w:val="21"/>
      <w:szCs w:val="21"/>
    </w:rPr>
  </w:style>
  <w:style w:type="character" w:customStyle="1" w:styleId="11">
    <w:name w:val="批注框文本 字符"/>
    <w:link w:val="5"/>
    <w:semiHidden/>
    <w:qFormat/>
    <w:locked/>
    <w:uiPriority w:val="99"/>
    <w:rPr>
      <w:rFonts w:ascii="Calibri" w:hAnsi="Calibri" w:eastAsia="宋体" w:cs="Calibri"/>
      <w:kern w:val="2"/>
      <w:sz w:val="18"/>
      <w:szCs w:val="18"/>
    </w:rPr>
  </w:style>
  <w:style w:type="character" w:customStyle="1" w:styleId="12">
    <w:name w:val="页脚 字符"/>
    <w:link w:val="6"/>
    <w:qFormat/>
    <w:locked/>
    <w:uiPriority w:val="99"/>
    <w:rPr>
      <w:sz w:val="18"/>
      <w:szCs w:val="18"/>
    </w:rPr>
  </w:style>
  <w:style w:type="character" w:customStyle="1" w:styleId="13">
    <w:name w:val="页眉 字符"/>
    <w:link w:val="7"/>
    <w:qFormat/>
    <w:locked/>
    <w:uiPriority w:val="99"/>
    <w:rPr>
      <w:sz w:val="18"/>
      <w:szCs w:val="18"/>
    </w:rPr>
  </w:style>
  <w:style w:type="paragraph" w:customStyle="1" w:styleId="14">
    <w:name w:val="修订1"/>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1067</Words>
  <Characters>1253</Characters>
  <Lines>149</Lines>
  <Paragraphs>123</Paragraphs>
  <TotalTime>27</TotalTime>
  <ScaleCrop>false</ScaleCrop>
  <LinksUpToDate>false</LinksUpToDate>
  <CharactersWithSpaces>1282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2025-05-27T16:15:00Z</dcterms:created>
  <dc:creator>lenovo</dc:creator>
  <cp:lastModifiedBy>朱俊戎</cp:lastModifiedBy>
  <dcterms:modified xsi:type="dcterms:W3CDTF">2025-08-04T10:33:14Z</dcterms:modified>
  <dc:title>童鞋产品质量国家监督抽查实施细则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B5AD2AB0C5484905BF9BC653FB36F9E2_13</vt:lpwstr>
  </property>
  <property fmtid="{D5CDD505-2E9C-101B-9397-08002B2CF9AE}" pid="4" name="KSOTemplateDocerSaveRecord">
    <vt:lpwstr>eyJoZGlkIjoiMWRkMGY0OGUyMTkyOGY3YzMyMDU2MzE3ZTFmMTI1OGQifQ==</vt:lpwstr>
  </property>
</Properties>
</file>