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江西省塑料</w:t>
      </w:r>
      <w:r>
        <w:rPr>
          <w:rFonts w:hint="eastAsia" w:eastAsia="仿宋" w:cs="Times New Roman"/>
          <w:b/>
          <w:bCs/>
          <w:color w:val="000000"/>
          <w:sz w:val="44"/>
          <w:szCs w:val="44"/>
          <w:lang w:eastAsia="zh-CN"/>
        </w:rPr>
        <w:t>菜</w:t>
      </w:r>
      <w:bookmarkStart w:id="1" w:name="_GoBack"/>
      <w:bookmarkEnd w:id="1"/>
      <w:r>
        <w:rPr>
          <w:rFonts w:hint="default" w:ascii="Times New Roman" w:hAnsi="Times New Roman" w:eastAsia="仿宋" w:cs="Times New Roman"/>
          <w:b/>
          <w:bCs/>
          <w:color w:val="000000"/>
          <w:sz w:val="44"/>
          <w:szCs w:val="44"/>
          <w:lang w:eastAsia="zh-CN"/>
        </w:rPr>
        <w:t>板产品质量省级监督抽查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adjustRightInd w:val="0"/>
        <w:snapToGrid w:val="0"/>
        <w:spacing w:line="440" w:lineRule="exact"/>
        <w:jc w:val="center"/>
        <w:rPr>
          <w:rFonts w:eastAsia="仿宋"/>
          <w:b/>
          <w:bCs/>
          <w:sz w:val="36"/>
          <w:szCs w:val="36"/>
          <w:highlight w:val="lightGray"/>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pPr>
      <w:r>
        <w:t>以随机抽样的方式在被抽样生产者、销售者的待销产品中抽取。</w:t>
      </w:r>
    </w:p>
    <w:p>
      <w:pPr>
        <w:snapToGrid w:val="0"/>
        <w:spacing w:line="440" w:lineRule="exact"/>
        <w:ind w:firstLine="420" w:firstLineChars="200"/>
      </w:pPr>
      <w:r>
        <w:t>随机数一般可使用随机数表、随机数骰子或扑克牌等方法产生。</w:t>
      </w:r>
    </w:p>
    <w:p>
      <w:pPr>
        <w:snapToGrid w:val="0"/>
        <w:spacing w:line="440" w:lineRule="exact"/>
        <w:ind w:firstLine="420" w:firstLineChars="200"/>
      </w:pPr>
      <w:r>
        <w:t>如存在多个规格型号可以抽取的，应当明确样品抽取的优先原则。优先按以下原则抽取：（1）优先抽取有印刷、颜色较深、生产工艺较复杂的主导产品；（2）优先抽取S/V（表面积体积比）最大的产品（即相同工艺和形状中容积较小的产品）。</w:t>
      </w:r>
    </w:p>
    <w:p>
      <w:pPr>
        <w:adjustRightInd w:val="0"/>
        <w:snapToGrid w:val="0"/>
        <w:spacing w:line="440" w:lineRule="exact"/>
        <w:ind w:firstLine="420" w:firstLineChars="200"/>
      </w:pPr>
      <w:r>
        <w:t>抽查样品基数满足抽样数量即可。抽样数量详见表1。</w:t>
      </w:r>
    </w:p>
    <w:p>
      <w:pPr>
        <w:snapToGrid w:val="0"/>
        <w:spacing w:line="440" w:lineRule="exact"/>
        <w:ind w:firstLine="420" w:firstLineChars="200"/>
        <w:jc w:val="center"/>
        <w:rPr>
          <w:color w:val="000000"/>
        </w:rPr>
      </w:pPr>
      <w:r>
        <w:rPr>
          <w:color w:val="000000"/>
        </w:rPr>
        <w:t>表1 抽取样品数量</w:t>
      </w:r>
    </w:p>
    <w:tbl>
      <w:tblPr>
        <w:tblStyle w:val="8"/>
        <w:tblW w:w="50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1341"/>
        <w:gridCol w:w="6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09"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pPr>
            <w:r>
              <w:t>序号</w:t>
            </w:r>
          </w:p>
        </w:tc>
        <w:tc>
          <w:tcPr>
            <w:tcW w:w="780"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pPr>
            <w:r>
              <w:t>产品名称</w:t>
            </w:r>
          </w:p>
        </w:tc>
        <w:tc>
          <w:tcPr>
            <w:tcW w:w="3811" w:type="pct"/>
            <w:tcBorders>
              <w:top w:val="single" w:color="auto" w:sz="4" w:space="0"/>
              <w:left w:val="single" w:color="auto" w:sz="4" w:space="0"/>
              <w:right w:val="single" w:color="auto" w:sz="4" w:space="0"/>
            </w:tcBorders>
            <w:vAlign w:val="center"/>
          </w:tcPr>
          <w:p>
            <w:pPr>
              <w:snapToGrid w:val="0"/>
              <w:spacing w:line="360" w:lineRule="exact"/>
              <w:jc w:val="center"/>
            </w:pPr>
            <w: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09"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pPr>
            <w:r>
              <w:t>1</w:t>
            </w:r>
          </w:p>
        </w:tc>
        <w:tc>
          <w:tcPr>
            <w:tcW w:w="780"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pPr>
            <w:r>
              <w:t>塑料菜板</w:t>
            </w:r>
          </w:p>
        </w:tc>
        <w:tc>
          <w:tcPr>
            <w:tcW w:w="3811" w:type="pct"/>
            <w:tcBorders>
              <w:top w:val="single" w:color="auto" w:sz="4" w:space="0"/>
              <w:left w:val="single" w:color="auto" w:sz="4" w:space="0"/>
              <w:right w:val="single" w:color="auto" w:sz="4" w:space="0"/>
            </w:tcBorders>
            <w:vAlign w:val="center"/>
          </w:tcPr>
          <w:p>
            <w:pPr>
              <w:snapToGrid w:val="0"/>
              <w:spacing w:line="360" w:lineRule="exact"/>
            </w:pPr>
            <w:r>
              <w:t>抽取样品8块，其中6块作为检验样品，2块作为备用样品。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3"/>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left"/>
              <w:rPr>
                <w:sz w:val="18"/>
                <w:szCs w:val="18"/>
              </w:rPr>
            </w:pPr>
            <w:r>
              <w:rPr>
                <w:sz w:val="18"/>
                <w:szCs w:val="18"/>
              </w:rPr>
              <w:t>注：产品抽样数量可根据样品的实际大小，在满足检验的条件下做适当调整。</w:t>
            </w:r>
          </w:p>
        </w:tc>
      </w:tr>
    </w:tbl>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jc w:val="center"/>
      </w:pPr>
      <w:r>
        <w:t>表2 塑料菜板</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
        <w:gridCol w:w="2979"/>
        <w:gridCol w:w="2291"/>
        <w:gridCol w:w="2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560" w:type="pct"/>
            <w:vAlign w:val="center"/>
          </w:tcPr>
          <w:p>
            <w:pPr>
              <w:jc w:val="center"/>
            </w:pPr>
            <w:bookmarkStart w:id="0" w:name="_Hlk114317829"/>
            <w:r>
              <w:t>序号</w:t>
            </w:r>
          </w:p>
        </w:tc>
        <w:tc>
          <w:tcPr>
            <w:tcW w:w="1749" w:type="pct"/>
            <w:vAlign w:val="center"/>
          </w:tcPr>
          <w:p>
            <w:pPr>
              <w:jc w:val="center"/>
            </w:pPr>
            <w:r>
              <w:t>检验项目</w:t>
            </w:r>
          </w:p>
        </w:tc>
        <w:tc>
          <w:tcPr>
            <w:tcW w:w="1345" w:type="pct"/>
            <w:vAlign w:val="center"/>
          </w:tcPr>
          <w:p>
            <w:pPr>
              <w:jc w:val="center"/>
            </w:pPr>
            <w:r>
              <w:t>检验依据</w:t>
            </w:r>
          </w:p>
        </w:tc>
        <w:tc>
          <w:tcPr>
            <w:tcW w:w="1346" w:type="pct"/>
            <w:vAlign w:val="center"/>
          </w:tcPr>
          <w:p>
            <w:pPr>
              <w:jc w:val="center"/>
            </w:pPr>
            <w: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0" w:type="pct"/>
            <w:vAlign w:val="center"/>
          </w:tcPr>
          <w:p>
            <w:pPr>
              <w:jc w:val="center"/>
            </w:pPr>
            <w:r>
              <w:t>1</w:t>
            </w:r>
          </w:p>
        </w:tc>
        <w:tc>
          <w:tcPr>
            <w:tcW w:w="1749" w:type="pct"/>
            <w:vAlign w:val="center"/>
          </w:tcPr>
          <w:p>
            <w:pPr>
              <w:jc w:val="center"/>
            </w:pPr>
            <w:r>
              <w:t>感官要求</w:t>
            </w:r>
          </w:p>
        </w:tc>
        <w:tc>
          <w:tcPr>
            <w:tcW w:w="1345" w:type="pct"/>
            <w:vAlign w:val="center"/>
          </w:tcPr>
          <w:p>
            <w:pPr>
              <w:jc w:val="center"/>
            </w:pPr>
            <w:r>
              <w:rPr>
                <w:sz w:val="24"/>
              </w:rPr>
              <w:t>GB 4806.7-2023</w:t>
            </w:r>
          </w:p>
        </w:tc>
        <w:tc>
          <w:tcPr>
            <w:tcW w:w="1346" w:type="pct"/>
            <w:vAlign w:val="center"/>
          </w:tcPr>
          <w:p>
            <w:pPr>
              <w:jc w:val="center"/>
            </w:pPr>
            <w: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0" w:type="pct"/>
            <w:vAlign w:val="center"/>
          </w:tcPr>
          <w:p>
            <w:pPr>
              <w:jc w:val="center"/>
            </w:pPr>
            <w:r>
              <w:t>2</w:t>
            </w:r>
          </w:p>
        </w:tc>
        <w:tc>
          <w:tcPr>
            <w:tcW w:w="1749" w:type="pct"/>
            <w:vAlign w:val="center"/>
          </w:tcPr>
          <w:p>
            <w:pPr>
              <w:jc w:val="center"/>
            </w:pPr>
            <w:r>
              <w:t>总迁移量</w:t>
            </w:r>
          </w:p>
        </w:tc>
        <w:tc>
          <w:tcPr>
            <w:tcW w:w="1345" w:type="pct"/>
            <w:vAlign w:val="center"/>
          </w:tcPr>
          <w:p>
            <w:pPr>
              <w:jc w:val="center"/>
            </w:pPr>
            <w:r>
              <w:rPr>
                <w:sz w:val="24"/>
              </w:rPr>
              <w:t>GB 4806.7-2023</w:t>
            </w:r>
          </w:p>
        </w:tc>
        <w:tc>
          <w:tcPr>
            <w:tcW w:w="1346" w:type="pct"/>
            <w:vAlign w:val="center"/>
          </w:tcPr>
          <w:p>
            <w:pPr>
              <w:jc w:val="center"/>
            </w:pPr>
            <w: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0" w:type="pct"/>
            <w:vAlign w:val="center"/>
          </w:tcPr>
          <w:p>
            <w:pPr>
              <w:jc w:val="center"/>
            </w:pPr>
            <w:r>
              <w:t>3</w:t>
            </w:r>
          </w:p>
        </w:tc>
        <w:tc>
          <w:tcPr>
            <w:tcW w:w="1749" w:type="pct"/>
            <w:vAlign w:val="center"/>
          </w:tcPr>
          <w:p>
            <w:pPr>
              <w:jc w:val="center"/>
            </w:pPr>
            <w:r>
              <w:t>高锰酸钾消耗量</w:t>
            </w:r>
          </w:p>
        </w:tc>
        <w:tc>
          <w:tcPr>
            <w:tcW w:w="1345" w:type="pct"/>
            <w:vAlign w:val="center"/>
          </w:tcPr>
          <w:p>
            <w:pPr>
              <w:jc w:val="center"/>
            </w:pPr>
            <w:r>
              <w:rPr>
                <w:sz w:val="24"/>
              </w:rPr>
              <w:t>GB 4806.7-2023</w:t>
            </w:r>
          </w:p>
        </w:tc>
        <w:tc>
          <w:tcPr>
            <w:tcW w:w="1346" w:type="pct"/>
            <w:vAlign w:val="center"/>
          </w:tcPr>
          <w:p>
            <w:pPr>
              <w:jc w:val="center"/>
            </w:pPr>
            <w: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0" w:type="pct"/>
            <w:vAlign w:val="center"/>
          </w:tcPr>
          <w:p>
            <w:pPr>
              <w:jc w:val="center"/>
            </w:pPr>
            <w:r>
              <w:t>4</w:t>
            </w:r>
          </w:p>
        </w:tc>
        <w:tc>
          <w:tcPr>
            <w:tcW w:w="1749" w:type="pct"/>
            <w:vAlign w:val="center"/>
          </w:tcPr>
          <w:p>
            <w:pPr>
              <w:jc w:val="center"/>
            </w:pPr>
            <w:r>
              <w:t>重金属（以Pb计）</w:t>
            </w:r>
          </w:p>
        </w:tc>
        <w:tc>
          <w:tcPr>
            <w:tcW w:w="1345" w:type="pct"/>
            <w:vAlign w:val="center"/>
          </w:tcPr>
          <w:p>
            <w:pPr>
              <w:jc w:val="center"/>
            </w:pPr>
            <w:r>
              <w:rPr>
                <w:sz w:val="24"/>
              </w:rPr>
              <w:t>GB 4806.7-2023</w:t>
            </w:r>
          </w:p>
        </w:tc>
        <w:tc>
          <w:tcPr>
            <w:tcW w:w="1346" w:type="pct"/>
            <w:vAlign w:val="center"/>
          </w:tcPr>
          <w:p>
            <w:pPr>
              <w:jc w:val="center"/>
            </w:pPr>
            <w: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0" w:type="pct"/>
            <w:vAlign w:val="center"/>
          </w:tcPr>
          <w:p>
            <w:pPr>
              <w:jc w:val="center"/>
            </w:pPr>
            <w:r>
              <w:t>5</w:t>
            </w:r>
          </w:p>
        </w:tc>
        <w:tc>
          <w:tcPr>
            <w:tcW w:w="1749" w:type="pct"/>
            <w:vAlign w:val="center"/>
          </w:tcPr>
          <w:p>
            <w:pPr>
              <w:jc w:val="center"/>
            </w:pPr>
            <w:r>
              <w:t>脱色试验</w:t>
            </w:r>
          </w:p>
        </w:tc>
        <w:tc>
          <w:tcPr>
            <w:tcW w:w="1345" w:type="pct"/>
            <w:vAlign w:val="center"/>
          </w:tcPr>
          <w:p>
            <w:pPr>
              <w:jc w:val="center"/>
            </w:pPr>
            <w:r>
              <w:rPr>
                <w:sz w:val="24"/>
              </w:rPr>
              <w:t>GB 4806.7-2023</w:t>
            </w:r>
          </w:p>
        </w:tc>
        <w:tc>
          <w:tcPr>
            <w:tcW w:w="1346" w:type="pct"/>
            <w:vAlign w:val="center"/>
          </w:tcPr>
          <w:p>
            <w:pPr>
              <w:jc w:val="center"/>
            </w:pPr>
            <w:r>
              <w:t xml:space="preserve">GB 31604.7-2023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0" w:type="pct"/>
            <w:vAlign w:val="center"/>
          </w:tcPr>
          <w:p>
            <w:pPr>
              <w:jc w:val="center"/>
            </w:pPr>
            <w:r>
              <w:t>6</w:t>
            </w:r>
          </w:p>
        </w:tc>
        <w:tc>
          <w:tcPr>
            <w:tcW w:w="1749" w:type="pct"/>
            <w:vAlign w:val="center"/>
          </w:tcPr>
          <w:p>
            <w:pPr>
              <w:jc w:val="center"/>
            </w:pPr>
            <w:r>
              <w:t>芳香族伯胺迁移总量</w:t>
            </w:r>
          </w:p>
        </w:tc>
        <w:tc>
          <w:tcPr>
            <w:tcW w:w="1345" w:type="pct"/>
            <w:vAlign w:val="center"/>
          </w:tcPr>
          <w:p>
            <w:pPr>
              <w:jc w:val="center"/>
            </w:pPr>
            <w:r>
              <w:rPr>
                <w:sz w:val="24"/>
              </w:rPr>
              <w:t>GB 4806.7-2023</w:t>
            </w:r>
          </w:p>
        </w:tc>
        <w:tc>
          <w:tcPr>
            <w:tcW w:w="1346" w:type="pct"/>
            <w:vAlign w:val="center"/>
          </w:tcPr>
          <w:p>
            <w:pPr>
              <w:jc w:val="center"/>
            </w:pPr>
            <w: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4"/>
          </w:tcPr>
          <w:p>
            <w:pPr>
              <w:jc w:val="left"/>
              <w:rPr>
                <w:bCs/>
                <w:sz w:val="18"/>
                <w:szCs w:val="18"/>
              </w:rPr>
            </w:pPr>
            <w:r>
              <w:rPr>
                <w:bCs/>
                <w:sz w:val="18"/>
                <w:szCs w:val="18"/>
              </w:rPr>
              <w:t>注：1.芳香族伯胺迁移总量适用于执行标准为GB 4806.7-2023的产品。</w:t>
            </w:r>
          </w:p>
          <w:p>
            <w:pPr>
              <w:numPr>
                <w:ilvl w:val="0"/>
                <w:numId w:val="1"/>
              </w:numPr>
              <w:jc w:val="left"/>
              <w:rPr>
                <w:bCs/>
                <w:sz w:val="18"/>
                <w:szCs w:val="18"/>
              </w:rPr>
            </w:pPr>
            <w:r>
              <w:rPr>
                <w:bCs/>
                <w:sz w:val="18"/>
                <w:szCs w:val="18"/>
              </w:rPr>
              <w:t>高锰酸钾消耗量不适用生产日期在2024年9月6日之后的、且淀粉含量≥40%的淀粉基塑料材料及制品。</w:t>
            </w:r>
          </w:p>
          <w:p>
            <w:pPr>
              <w:numPr>
                <w:ilvl w:val="0"/>
                <w:numId w:val="1"/>
              </w:numPr>
              <w:jc w:val="left"/>
              <w:rPr>
                <w:bCs/>
                <w:sz w:val="18"/>
                <w:szCs w:val="18"/>
              </w:rPr>
            </w:pPr>
            <w:r>
              <w:rPr>
                <w:bCs/>
                <w:sz w:val="18"/>
                <w:szCs w:val="18"/>
              </w:rPr>
              <w:t>因流通领域抽样时无法让生产企业确定产品的预期使用情况，故流通领域抽取的菜板产品迁移条件均按照10%乙醇，40℃，2h，重复进行三次实验。</w:t>
            </w:r>
          </w:p>
          <w:p>
            <w:pPr>
              <w:numPr>
                <w:ilvl w:val="0"/>
                <w:numId w:val="1"/>
              </w:numPr>
              <w:jc w:val="left"/>
              <w:rPr>
                <w:bCs/>
                <w:sz w:val="18"/>
                <w:szCs w:val="18"/>
              </w:rPr>
            </w:pPr>
            <w:r>
              <w:rPr>
                <w:bCs/>
                <w:sz w:val="18"/>
                <w:szCs w:val="18"/>
              </w:rPr>
              <w:t>脱色试验仅适用于添加了着色剂的产品。</w:t>
            </w:r>
          </w:p>
        </w:tc>
      </w:tr>
      <w:bookmarkEnd w:id="0"/>
    </w:tbl>
    <w:p>
      <w:pPr>
        <w:snapToGrid w:val="0"/>
        <w:spacing w:line="440" w:lineRule="exact"/>
        <w:ind w:firstLine="420" w:firstLineChars="200"/>
      </w:pPr>
      <w:r>
        <w:t>执行企业标准、团体标准、地方标准的产品，检验项目参照上述内容执行。</w:t>
      </w:r>
    </w:p>
    <w:p>
      <w:pPr>
        <w:snapToGrid w:val="0"/>
        <w:spacing w:line="440" w:lineRule="exact"/>
        <w:ind w:firstLine="420" w:firstLineChars="200"/>
      </w:pPr>
      <w: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pacing w:line="460" w:lineRule="exact"/>
        <w:ind w:firstLine="210" w:firstLineChars="100"/>
      </w:pPr>
      <w:r>
        <w:t>QB/T 1870-2015  塑料菜板</w:t>
      </w:r>
    </w:p>
    <w:p>
      <w:pPr>
        <w:adjustRightInd w:val="0"/>
        <w:spacing w:line="460" w:lineRule="exact"/>
        <w:ind w:firstLine="210" w:firstLineChars="100"/>
      </w:pPr>
      <w:r>
        <w:t>GB 4806.7-2023  食品安全国家标准 食品接触用塑料材料及制品</w:t>
      </w:r>
    </w:p>
    <w:p>
      <w:pPr>
        <w:adjustRightInd w:val="0"/>
        <w:spacing w:line="500" w:lineRule="exact"/>
      </w:pPr>
      <w:r>
        <w:t xml:space="preserve">  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snapToGrid w:val="0"/>
        <w:spacing w:line="400" w:lineRule="exact"/>
        <w:ind w:firstLine="420" w:firstLineChars="200"/>
      </w:pPr>
      <w:r>
        <w:t>经检验，检验项目全部合格，判定为被抽查产品所检项目未发现不合格；检验项目中任一项或一项以上不合格，判定为被抽查产品不合格。</w:t>
      </w:r>
    </w:p>
    <w:p>
      <w:pPr>
        <w:snapToGrid w:val="0"/>
        <w:spacing w:line="400" w:lineRule="exact"/>
        <w:ind w:firstLine="417" w:firstLineChars="199"/>
      </w:pPr>
      <w:r>
        <w:t>若被检产品明示的质量要求高于本细则中检验项目依据的标准要求时，应按被检产品明示的质量要求判定。</w:t>
      </w:r>
    </w:p>
    <w:p>
      <w:pPr>
        <w:snapToGrid w:val="0"/>
        <w:spacing w:line="400" w:lineRule="exact"/>
        <w:ind w:firstLine="417" w:firstLineChars="199"/>
      </w:pPr>
      <w:r>
        <w:t>若被检产品明示的质量要求低于本细则中检验项目依据的强制性标准要求时，应按照强制性标准要求判定。</w:t>
      </w:r>
    </w:p>
    <w:p>
      <w:pPr>
        <w:snapToGrid w:val="0"/>
        <w:spacing w:line="400" w:lineRule="exact"/>
        <w:ind w:firstLine="417" w:firstLineChars="199"/>
      </w:pPr>
      <w:r>
        <w:t>若被检产品明示的质量要求低于或包含本细则中检验项目依据的推荐性标准要求时，应以被检产品明示的质量要求判定。</w:t>
      </w:r>
    </w:p>
    <w:p>
      <w:pPr>
        <w:snapToGrid w:val="0"/>
        <w:spacing w:line="400" w:lineRule="exact"/>
        <w:ind w:firstLine="417" w:firstLineChars="199"/>
      </w:pPr>
      <w:r>
        <w:t>若被检产品明示的质量要求缺少本细则中检验项目依据的强制性标准要求时，应按照强制性标准要求判定。</w:t>
      </w:r>
    </w:p>
    <w:p>
      <w:pPr>
        <w:snapToGrid w:val="0"/>
        <w:spacing w:line="400" w:lineRule="exact"/>
        <w:ind w:firstLine="417" w:firstLineChars="199"/>
      </w:pPr>
      <w:r>
        <w:t>若被检产品明示的质量要求缺少本细则中检验项目依据的推荐性标准要求时，该项目不参与判定。</w:t>
      </w:r>
    </w:p>
    <w:p>
      <w:pPr>
        <w:snapToGrid w:val="0"/>
        <w:spacing w:line="400" w:lineRule="exact"/>
        <w:ind w:firstLine="417" w:firstLineChars="199"/>
      </w:pP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910371744"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hint="eastAsia" w:eastAsia="宋体" w:cs="Calibri"/>
                            </w:rPr>
                          </w:pPr>
                          <w:r>
                            <w:fldChar w:fldCharType="begin"/>
                          </w:r>
                          <w:r>
                            <w:instrText xml:space="preserve"> PAGE  \* MERGEFORMAT </w:instrText>
                          </w:r>
                          <w:r>
                            <w:fldChar w:fldCharType="separate"/>
                          </w:r>
                          <w: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Mxvcez+AQAAyQMAAA4AAAAAAAAA&#10;AQAgAAAANgEAAGRycy9lMm9Eb2MueG1sUEsFBgAAAAAGAAYAWQEAAKYFAAAAAA==&#10;">
              <v:fill on="f" focussize="0,0"/>
              <v:stroke on="f"/>
              <v:imagedata o:title=""/>
              <o:lock v:ext="edit" aspectratio="f"/>
              <v:textbox inset="0mm,0mm,0mm,0mm" style="mso-fit-shape-to-text:t;">
                <w:txbxContent>
                  <w:p>
                    <w:pPr>
                      <w:pStyle w:val="6"/>
                      <w:rPr>
                        <w:rFonts w:hint="eastAsia" w:eastAsia="宋体" w:cs="Calibri"/>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683130827"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hint="eastAsia" w:eastAsia="宋体" w:cs="Calibri"/>
                            </w:rPr>
                          </w:pPr>
                          <w:r>
                            <w:fldChar w:fldCharType="begin"/>
                          </w:r>
                          <w:r>
                            <w:instrText xml:space="preserve"> PAGE  \* MERGEFORMAT </w:instrText>
                          </w:r>
                          <w:r>
                            <w:fldChar w:fldCharType="separate"/>
                          </w:r>
                          <w: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hf5/7P0BAADIAwAADgAAAAAAAAAB&#10;ACAAAAA2AQAAZHJzL2Uyb0RvYy54bWxQSwUGAAAAAAYABgBZAQAApQUAAAAA&#10;">
              <v:fill on="f" focussize="0,0"/>
              <v:stroke on="f"/>
              <v:imagedata o:title=""/>
              <o:lock v:ext="edit" aspectratio="f"/>
              <v:textbox inset="0mm,0mm,0mm,0mm" style="mso-fit-shape-to-text:t;">
                <w:txbxContent>
                  <w:p>
                    <w:pPr>
                      <w:pStyle w:val="6"/>
                      <w:rPr>
                        <w:rFonts w:hint="eastAsia" w:eastAsia="宋体" w:cs="Calibri"/>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F31960"/>
    <w:multiLevelType w:val="singleLevel"/>
    <w:tmpl w:val="0BF3196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wODViY2ViZWQ4YmRiMTI4MzMxMjFkNGVlMDY5NzQifQ=="/>
  </w:docVars>
  <w:rsids>
    <w:rsidRoot w:val="00D5405B"/>
    <w:rsid w:val="000072CC"/>
    <w:rsid w:val="0001286A"/>
    <w:rsid w:val="000171C0"/>
    <w:rsid w:val="0002043B"/>
    <w:rsid w:val="00025AE4"/>
    <w:rsid w:val="00025CA6"/>
    <w:rsid w:val="00026506"/>
    <w:rsid w:val="00026B17"/>
    <w:rsid w:val="00030F7C"/>
    <w:rsid w:val="00041C1E"/>
    <w:rsid w:val="00053863"/>
    <w:rsid w:val="00055CBF"/>
    <w:rsid w:val="00060F67"/>
    <w:rsid w:val="00066069"/>
    <w:rsid w:val="00076350"/>
    <w:rsid w:val="000772DD"/>
    <w:rsid w:val="00077400"/>
    <w:rsid w:val="00077990"/>
    <w:rsid w:val="00082D47"/>
    <w:rsid w:val="00083BA4"/>
    <w:rsid w:val="00085E36"/>
    <w:rsid w:val="00095A97"/>
    <w:rsid w:val="00096CF1"/>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3864"/>
    <w:rsid w:val="00133CF7"/>
    <w:rsid w:val="00146044"/>
    <w:rsid w:val="0015082A"/>
    <w:rsid w:val="00152247"/>
    <w:rsid w:val="00156FFE"/>
    <w:rsid w:val="00166831"/>
    <w:rsid w:val="00171EEA"/>
    <w:rsid w:val="00172551"/>
    <w:rsid w:val="001750B5"/>
    <w:rsid w:val="00176127"/>
    <w:rsid w:val="0018595F"/>
    <w:rsid w:val="00193CBC"/>
    <w:rsid w:val="001A2B92"/>
    <w:rsid w:val="001B54E5"/>
    <w:rsid w:val="001B5B00"/>
    <w:rsid w:val="001C230A"/>
    <w:rsid w:val="001C34B9"/>
    <w:rsid w:val="001C45A3"/>
    <w:rsid w:val="001C52E2"/>
    <w:rsid w:val="001D13D3"/>
    <w:rsid w:val="001E66E7"/>
    <w:rsid w:val="001F3B71"/>
    <w:rsid w:val="001F4A22"/>
    <w:rsid w:val="00203549"/>
    <w:rsid w:val="00203F53"/>
    <w:rsid w:val="002056DC"/>
    <w:rsid w:val="002217E1"/>
    <w:rsid w:val="00245EF2"/>
    <w:rsid w:val="00274740"/>
    <w:rsid w:val="00281373"/>
    <w:rsid w:val="002856F3"/>
    <w:rsid w:val="002A5AFB"/>
    <w:rsid w:val="002B2DBA"/>
    <w:rsid w:val="002B31EB"/>
    <w:rsid w:val="002C1F17"/>
    <w:rsid w:val="002C2A99"/>
    <w:rsid w:val="002D05EB"/>
    <w:rsid w:val="002D73B3"/>
    <w:rsid w:val="002D7FE6"/>
    <w:rsid w:val="002E3F7F"/>
    <w:rsid w:val="002F7E59"/>
    <w:rsid w:val="00303414"/>
    <w:rsid w:val="00312ECE"/>
    <w:rsid w:val="003160F2"/>
    <w:rsid w:val="00321205"/>
    <w:rsid w:val="00326242"/>
    <w:rsid w:val="0034396F"/>
    <w:rsid w:val="003522E7"/>
    <w:rsid w:val="0035424B"/>
    <w:rsid w:val="00354BC3"/>
    <w:rsid w:val="00360295"/>
    <w:rsid w:val="00361795"/>
    <w:rsid w:val="00363AD5"/>
    <w:rsid w:val="00372899"/>
    <w:rsid w:val="0037572D"/>
    <w:rsid w:val="00383201"/>
    <w:rsid w:val="00390105"/>
    <w:rsid w:val="003A201B"/>
    <w:rsid w:val="003A36C6"/>
    <w:rsid w:val="003B516E"/>
    <w:rsid w:val="003B5800"/>
    <w:rsid w:val="003E2063"/>
    <w:rsid w:val="003E6A32"/>
    <w:rsid w:val="004031D7"/>
    <w:rsid w:val="004039C9"/>
    <w:rsid w:val="00403E87"/>
    <w:rsid w:val="0040473B"/>
    <w:rsid w:val="00425172"/>
    <w:rsid w:val="00425403"/>
    <w:rsid w:val="004375FD"/>
    <w:rsid w:val="00437974"/>
    <w:rsid w:val="004465D6"/>
    <w:rsid w:val="00453130"/>
    <w:rsid w:val="00453CEB"/>
    <w:rsid w:val="00462456"/>
    <w:rsid w:val="00463FAE"/>
    <w:rsid w:val="00463FC1"/>
    <w:rsid w:val="00481EAB"/>
    <w:rsid w:val="00487378"/>
    <w:rsid w:val="00493C6E"/>
    <w:rsid w:val="004A7140"/>
    <w:rsid w:val="004A75EE"/>
    <w:rsid w:val="004B5F9D"/>
    <w:rsid w:val="004B6A05"/>
    <w:rsid w:val="004C50B8"/>
    <w:rsid w:val="004D5D4E"/>
    <w:rsid w:val="004E5C4C"/>
    <w:rsid w:val="004E7AB4"/>
    <w:rsid w:val="004F0585"/>
    <w:rsid w:val="004F1A7A"/>
    <w:rsid w:val="0050716C"/>
    <w:rsid w:val="00510E23"/>
    <w:rsid w:val="00513EC4"/>
    <w:rsid w:val="005338CF"/>
    <w:rsid w:val="0054021E"/>
    <w:rsid w:val="00540922"/>
    <w:rsid w:val="0054269A"/>
    <w:rsid w:val="00546122"/>
    <w:rsid w:val="0056672E"/>
    <w:rsid w:val="0057124C"/>
    <w:rsid w:val="0059024C"/>
    <w:rsid w:val="005B048C"/>
    <w:rsid w:val="005B55D2"/>
    <w:rsid w:val="005C6AFD"/>
    <w:rsid w:val="005C7001"/>
    <w:rsid w:val="006073DB"/>
    <w:rsid w:val="006171ED"/>
    <w:rsid w:val="00617A0B"/>
    <w:rsid w:val="00626741"/>
    <w:rsid w:val="00637112"/>
    <w:rsid w:val="00642B48"/>
    <w:rsid w:val="0064413B"/>
    <w:rsid w:val="00646F8C"/>
    <w:rsid w:val="00647A4F"/>
    <w:rsid w:val="00647B3E"/>
    <w:rsid w:val="00647F58"/>
    <w:rsid w:val="006527CA"/>
    <w:rsid w:val="00652CBC"/>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42039"/>
    <w:rsid w:val="00756DC0"/>
    <w:rsid w:val="0076250A"/>
    <w:rsid w:val="007A6ABF"/>
    <w:rsid w:val="007B11EF"/>
    <w:rsid w:val="007B4063"/>
    <w:rsid w:val="007B7635"/>
    <w:rsid w:val="007C56E7"/>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0B11"/>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59A7"/>
    <w:rsid w:val="00950285"/>
    <w:rsid w:val="00952820"/>
    <w:rsid w:val="009552B0"/>
    <w:rsid w:val="00963C41"/>
    <w:rsid w:val="00965DA1"/>
    <w:rsid w:val="0098564E"/>
    <w:rsid w:val="009B5A56"/>
    <w:rsid w:val="009C58A2"/>
    <w:rsid w:val="009D0EEB"/>
    <w:rsid w:val="009D1E46"/>
    <w:rsid w:val="009D6100"/>
    <w:rsid w:val="009F2F59"/>
    <w:rsid w:val="009F3497"/>
    <w:rsid w:val="00A00835"/>
    <w:rsid w:val="00A02F9C"/>
    <w:rsid w:val="00A108D1"/>
    <w:rsid w:val="00A11828"/>
    <w:rsid w:val="00A12277"/>
    <w:rsid w:val="00A21EBC"/>
    <w:rsid w:val="00A472CA"/>
    <w:rsid w:val="00A510DF"/>
    <w:rsid w:val="00A535C0"/>
    <w:rsid w:val="00A5360F"/>
    <w:rsid w:val="00A55EE0"/>
    <w:rsid w:val="00A72DF9"/>
    <w:rsid w:val="00A87B03"/>
    <w:rsid w:val="00A92DBB"/>
    <w:rsid w:val="00A93E86"/>
    <w:rsid w:val="00AA4D2B"/>
    <w:rsid w:val="00AD207F"/>
    <w:rsid w:val="00AD214F"/>
    <w:rsid w:val="00AD519B"/>
    <w:rsid w:val="00AE2BAD"/>
    <w:rsid w:val="00AE3888"/>
    <w:rsid w:val="00AE44AD"/>
    <w:rsid w:val="00AE44CF"/>
    <w:rsid w:val="00AE45F8"/>
    <w:rsid w:val="00AE5DF7"/>
    <w:rsid w:val="00AF26C8"/>
    <w:rsid w:val="00AF53A0"/>
    <w:rsid w:val="00AF7FD3"/>
    <w:rsid w:val="00B02990"/>
    <w:rsid w:val="00B045D2"/>
    <w:rsid w:val="00B11F99"/>
    <w:rsid w:val="00B138C5"/>
    <w:rsid w:val="00B23BC1"/>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A30"/>
    <w:rsid w:val="00BE3940"/>
    <w:rsid w:val="00BF7F7D"/>
    <w:rsid w:val="00C10139"/>
    <w:rsid w:val="00C35A59"/>
    <w:rsid w:val="00C40F57"/>
    <w:rsid w:val="00C45860"/>
    <w:rsid w:val="00C4618E"/>
    <w:rsid w:val="00C46ED4"/>
    <w:rsid w:val="00C5059E"/>
    <w:rsid w:val="00C525DC"/>
    <w:rsid w:val="00C56DEB"/>
    <w:rsid w:val="00C57846"/>
    <w:rsid w:val="00C63048"/>
    <w:rsid w:val="00C70A29"/>
    <w:rsid w:val="00C72BE6"/>
    <w:rsid w:val="00C80701"/>
    <w:rsid w:val="00C80ADD"/>
    <w:rsid w:val="00C814AB"/>
    <w:rsid w:val="00C820A1"/>
    <w:rsid w:val="00C84D1B"/>
    <w:rsid w:val="00CA7DD9"/>
    <w:rsid w:val="00CB1BAE"/>
    <w:rsid w:val="00CB2060"/>
    <w:rsid w:val="00CB65B2"/>
    <w:rsid w:val="00CB6D4F"/>
    <w:rsid w:val="00CC5986"/>
    <w:rsid w:val="00CC797E"/>
    <w:rsid w:val="00CE149D"/>
    <w:rsid w:val="00CE67F6"/>
    <w:rsid w:val="00CE754F"/>
    <w:rsid w:val="00CF35BB"/>
    <w:rsid w:val="00D045CA"/>
    <w:rsid w:val="00D05DF5"/>
    <w:rsid w:val="00D109EA"/>
    <w:rsid w:val="00D15882"/>
    <w:rsid w:val="00D16E10"/>
    <w:rsid w:val="00D2003B"/>
    <w:rsid w:val="00D5405B"/>
    <w:rsid w:val="00D547FC"/>
    <w:rsid w:val="00D5595D"/>
    <w:rsid w:val="00D6052D"/>
    <w:rsid w:val="00D64B03"/>
    <w:rsid w:val="00D70122"/>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5F6"/>
    <w:rsid w:val="00E52893"/>
    <w:rsid w:val="00E65D5B"/>
    <w:rsid w:val="00E67210"/>
    <w:rsid w:val="00E70EB9"/>
    <w:rsid w:val="00E72DAD"/>
    <w:rsid w:val="00E9520D"/>
    <w:rsid w:val="00EA3055"/>
    <w:rsid w:val="00EA330E"/>
    <w:rsid w:val="00EB3FC5"/>
    <w:rsid w:val="00EC13D8"/>
    <w:rsid w:val="00EC41A3"/>
    <w:rsid w:val="00EC7D47"/>
    <w:rsid w:val="00ED5B30"/>
    <w:rsid w:val="00EE5CAD"/>
    <w:rsid w:val="00EF0338"/>
    <w:rsid w:val="00EF0F94"/>
    <w:rsid w:val="00EF2C5F"/>
    <w:rsid w:val="00EF2ED5"/>
    <w:rsid w:val="00EF4A02"/>
    <w:rsid w:val="00F06D6F"/>
    <w:rsid w:val="00F07397"/>
    <w:rsid w:val="00F173F5"/>
    <w:rsid w:val="00F30E64"/>
    <w:rsid w:val="00F346CB"/>
    <w:rsid w:val="00F37CDF"/>
    <w:rsid w:val="00F40B52"/>
    <w:rsid w:val="00F440C6"/>
    <w:rsid w:val="00F50DA1"/>
    <w:rsid w:val="00F544C7"/>
    <w:rsid w:val="00F60BEE"/>
    <w:rsid w:val="00F61911"/>
    <w:rsid w:val="00F653C4"/>
    <w:rsid w:val="00F776C2"/>
    <w:rsid w:val="00F815BD"/>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0FF700F"/>
    <w:rsid w:val="013C4452"/>
    <w:rsid w:val="029706AC"/>
    <w:rsid w:val="06C12F83"/>
    <w:rsid w:val="0966282F"/>
    <w:rsid w:val="0A0707D1"/>
    <w:rsid w:val="0E9E49E6"/>
    <w:rsid w:val="0EBB3568"/>
    <w:rsid w:val="11E35B9E"/>
    <w:rsid w:val="17E4768B"/>
    <w:rsid w:val="1A0620B7"/>
    <w:rsid w:val="1AF92F65"/>
    <w:rsid w:val="1B8B1A92"/>
    <w:rsid w:val="1BBD3130"/>
    <w:rsid w:val="1C4007A0"/>
    <w:rsid w:val="1CCF0A4E"/>
    <w:rsid w:val="226B1C17"/>
    <w:rsid w:val="26096525"/>
    <w:rsid w:val="283468FF"/>
    <w:rsid w:val="2A2E52DB"/>
    <w:rsid w:val="2E2F49AB"/>
    <w:rsid w:val="2EB77514"/>
    <w:rsid w:val="334F23E4"/>
    <w:rsid w:val="33B44FB3"/>
    <w:rsid w:val="37085CD4"/>
    <w:rsid w:val="3CAC1730"/>
    <w:rsid w:val="3CE240A8"/>
    <w:rsid w:val="3DB64099"/>
    <w:rsid w:val="3DE24FE8"/>
    <w:rsid w:val="40C51B17"/>
    <w:rsid w:val="40D2476E"/>
    <w:rsid w:val="40FC7D2A"/>
    <w:rsid w:val="42B745D5"/>
    <w:rsid w:val="47154AA7"/>
    <w:rsid w:val="48121517"/>
    <w:rsid w:val="48D121E8"/>
    <w:rsid w:val="4AF47D09"/>
    <w:rsid w:val="4B4C6909"/>
    <w:rsid w:val="4E4A12EF"/>
    <w:rsid w:val="4EE71B56"/>
    <w:rsid w:val="4F3A3DF2"/>
    <w:rsid w:val="5192021D"/>
    <w:rsid w:val="53901ECC"/>
    <w:rsid w:val="53F323D0"/>
    <w:rsid w:val="55327046"/>
    <w:rsid w:val="57041A0F"/>
    <w:rsid w:val="573F7409"/>
    <w:rsid w:val="57C31F1C"/>
    <w:rsid w:val="59D9671C"/>
    <w:rsid w:val="5D014D35"/>
    <w:rsid w:val="5D630781"/>
    <w:rsid w:val="5DDF7D9D"/>
    <w:rsid w:val="5E0C0459"/>
    <w:rsid w:val="61FD4BD6"/>
    <w:rsid w:val="6BC42A4A"/>
    <w:rsid w:val="6C5F4004"/>
    <w:rsid w:val="6E2C7E5B"/>
    <w:rsid w:val="6E3B65CF"/>
    <w:rsid w:val="6EBC53D5"/>
    <w:rsid w:val="71646B09"/>
    <w:rsid w:val="7BC24773"/>
    <w:rsid w:val="7CAC402C"/>
    <w:rsid w:val="7D8D3D7E"/>
    <w:rsid w:val="7E7C27FD"/>
    <w:rsid w:val="7E9A5CD6"/>
    <w:rsid w:val="CF7F0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annotation text"/>
    <w:basedOn w:val="1"/>
    <w:link w:val="10"/>
    <w:semiHidden/>
    <w:qFormat/>
    <w:uiPriority w:val="99"/>
    <w:pPr>
      <w:jc w:val="left"/>
    </w:pPr>
    <w:rPr>
      <w:kern w:val="0"/>
    </w:rPr>
  </w:style>
  <w:style w:type="paragraph" w:styleId="5">
    <w:name w:val="Balloon Text"/>
    <w:basedOn w:val="1"/>
    <w:link w:val="11"/>
    <w:semiHidden/>
    <w:qFormat/>
    <w:uiPriority w:val="99"/>
    <w:rPr>
      <w:sz w:val="18"/>
      <w:szCs w:val="18"/>
    </w:rPr>
  </w:style>
  <w:style w:type="paragraph" w:styleId="6">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character" w:customStyle="1" w:styleId="10">
    <w:name w:val="批注文字 字符"/>
    <w:link w:val="4"/>
    <w:semiHidden/>
    <w:qFormat/>
    <w:locked/>
    <w:uiPriority w:val="99"/>
    <w:rPr>
      <w:rFonts w:ascii="Calibri" w:hAnsi="Calibri" w:eastAsia="宋体" w:cs="Calibri"/>
      <w:sz w:val="21"/>
      <w:szCs w:val="21"/>
    </w:rPr>
  </w:style>
  <w:style w:type="character" w:customStyle="1" w:styleId="11">
    <w:name w:val="批注框文本 字符"/>
    <w:link w:val="5"/>
    <w:semiHidden/>
    <w:qFormat/>
    <w:locked/>
    <w:uiPriority w:val="99"/>
    <w:rPr>
      <w:rFonts w:ascii="Calibri" w:hAnsi="Calibri" w:eastAsia="宋体" w:cs="Calibri"/>
      <w:kern w:val="2"/>
      <w:sz w:val="18"/>
      <w:szCs w:val="18"/>
    </w:rPr>
  </w:style>
  <w:style w:type="character" w:customStyle="1" w:styleId="12">
    <w:name w:val="页脚 字符"/>
    <w:link w:val="6"/>
    <w:qFormat/>
    <w:locked/>
    <w:uiPriority w:val="99"/>
    <w:rPr>
      <w:sz w:val="18"/>
      <w:szCs w:val="18"/>
    </w:rPr>
  </w:style>
  <w:style w:type="character" w:customStyle="1" w:styleId="13">
    <w:name w:val="页眉 字符"/>
    <w:link w:val="7"/>
    <w:qFormat/>
    <w:locked/>
    <w:uiPriority w:val="99"/>
    <w:rPr>
      <w:sz w:val="18"/>
      <w:szCs w:val="18"/>
    </w:rPr>
  </w:style>
  <w:style w:type="paragraph" w:customStyle="1" w:styleId="14">
    <w:name w:val="修订1"/>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1011</Words>
  <Characters>296</Characters>
  <Lines>18</Lines>
  <Paragraphs>65</Paragraphs>
  <TotalTime>4</TotalTime>
  <ScaleCrop>false</ScaleCrop>
  <LinksUpToDate>false</LinksUpToDate>
  <CharactersWithSpaces>1242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2025-05-27T16:07:00Z</dcterms:created>
  <dc:creator>lenovo</dc:creator>
  <cp:lastModifiedBy>朱俊戎</cp:lastModifiedBy>
  <dcterms:modified xsi:type="dcterms:W3CDTF">2025-08-04T10:34:59Z</dcterms:modified>
  <dc:title>童鞋产品质量国家监督抽查实施细则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B5AD2AB0C5484905BF9BC653FB36F9E2_13</vt:lpwstr>
  </property>
  <property fmtid="{D5CDD505-2E9C-101B-9397-08002B2CF9AE}" pid="4" name="KSOTemplateDocerSaveRecord">
    <vt:lpwstr>eyJoZGlkIjoiMWRkMGY0OGUyMTkyOGY3YzMyMDU2MzE3ZTFmMTI1OGQifQ==</vt:lpwstr>
  </property>
</Properties>
</file>