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Times New Roman" w:hAnsi="Times New Roman" w:eastAsia="仿宋" w:cs="Times New Roman"/>
          <w:b/>
          <w:bCs/>
          <w:color w:val="000000"/>
          <w:sz w:val="44"/>
          <w:szCs w:val="44"/>
          <w:lang w:eastAsia="zh-CN"/>
        </w:rPr>
      </w:pPr>
      <w:r>
        <w:rPr>
          <w:rFonts w:hint="eastAsia" w:ascii="Times New Roman" w:hAnsi="Times New Roman" w:eastAsia="仿宋" w:cs="Times New Roman"/>
          <w:b/>
          <w:bCs/>
          <w:color w:val="000000"/>
          <w:sz w:val="44"/>
          <w:szCs w:val="44"/>
          <w:lang w:eastAsia="zh-CN"/>
        </w:rPr>
        <w:t>江西省食品接触材料及制品用油墨产品</w:t>
      </w:r>
    </w:p>
    <w:p>
      <w:pPr>
        <w:spacing w:line="240" w:lineRule="auto"/>
        <w:jc w:val="center"/>
        <w:rPr>
          <w:rFonts w:hint="eastAsia" w:ascii="Times New Roman" w:hAnsi="Times New Roman" w:eastAsia="仿宋" w:cs="Times New Roman"/>
          <w:b/>
          <w:bCs/>
          <w:color w:val="000000"/>
          <w:sz w:val="44"/>
          <w:szCs w:val="44"/>
          <w:lang w:eastAsia="zh-CN"/>
        </w:rPr>
      </w:pPr>
      <w:r>
        <w:rPr>
          <w:rFonts w:hint="eastAsia" w:ascii="Times New Roman" w:hAnsi="Times New Roman" w:eastAsia="仿宋" w:cs="Times New Roman"/>
          <w:b/>
          <w:bCs/>
          <w:color w:val="000000"/>
          <w:sz w:val="44"/>
          <w:szCs w:val="44"/>
          <w:lang w:eastAsia="zh-CN"/>
        </w:rPr>
        <w:t>质量省级监督抽查实施细则（202</w:t>
      </w:r>
      <w:r>
        <w:rPr>
          <w:rFonts w:hint="eastAsia" w:ascii="Times New Roman" w:hAnsi="Times New Roman" w:eastAsia="仿宋" w:cs="Times New Roman"/>
          <w:b/>
          <w:bCs/>
          <w:color w:val="000000"/>
          <w:sz w:val="44"/>
          <w:szCs w:val="44"/>
          <w:lang w:val="en-US" w:eastAsia="zh-CN"/>
        </w:rPr>
        <w:t>5</w:t>
      </w:r>
      <w:r>
        <w:rPr>
          <w:rFonts w:hint="eastAsia" w:ascii="Times New Roman" w:hAnsi="Times New Roman" w:eastAsia="仿宋" w:cs="Times New Roman"/>
          <w:b/>
          <w:bCs/>
          <w:color w:val="000000"/>
          <w:sz w:val="44"/>
          <w:szCs w:val="44"/>
          <w:lang w:eastAsia="zh-CN"/>
        </w:rPr>
        <w:t>年版）</w:t>
      </w:r>
    </w:p>
    <w:p>
      <w:pPr>
        <w:spacing w:line="240" w:lineRule="auto"/>
        <w:jc w:val="center"/>
        <w:rPr>
          <w:rFonts w:hint="eastAsia" w:ascii="Times New Roman" w:hAnsi="Times New Roman" w:eastAsia="仿宋" w:cs="Times New Roman"/>
          <w:b/>
          <w:bCs/>
          <w:color w:val="000000"/>
          <w:sz w:val="44"/>
          <w:szCs w:val="44"/>
          <w:lang w:eastAsia="zh-CN"/>
        </w:rPr>
      </w:pP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1 抽样方法</w:t>
      </w:r>
    </w:p>
    <w:p>
      <w:pPr>
        <w:snapToGrid w:val="0"/>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以随机抽样的方式在被抽样生产者、销售者的待销产品</w:t>
      </w:r>
      <w:r>
        <w:rPr>
          <w:rFonts w:hint="eastAsia" w:cs="Times New Roman"/>
          <w:highlight w:val="none"/>
          <w:lang w:val="en-US" w:eastAsia="zh-CN"/>
        </w:rPr>
        <w:t>或</w:t>
      </w:r>
      <w:r>
        <w:rPr>
          <w:rFonts w:hint="default" w:ascii="Times New Roman" w:hAnsi="Times New Roman" w:cs="Times New Roman"/>
          <w:highlight w:val="none"/>
        </w:rPr>
        <w:t>辅料仓库内抽取</w:t>
      </w:r>
      <w:r>
        <w:rPr>
          <w:rFonts w:hint="default" w:ascii="Times New Roman" w:hAnsi="Times New Roman" w:eastAsia="宋体" w:cs="Times New Roman"/>
          <w:sz w:val="21"/>
          <w:szCs w:val="21"/>
        </w:rPr>
        <w:t>。</w:t>
      </w:r>
    </w:p>
    <w:p>
      <w:pPr>
        <w:keepNext w:val="0"/>
        <w:keepLines w:val="0"/>
        <w:pageBreakBefore w:val="0"/>
        <w:widowControl w:val="0"/>
        <w:kinsoku/>
        <w:wordWrap/>
        <w:overflowPunct/>
        <w:topLinePunct w:val="0"/>
        <w:autoSpaceDE/>
        <w:autoSpaceDN/>
        <w:bidi w:val="0"/>
        <w:adjustRightInd/>
        <w:snapToGrid w:val="0"/>
        <w:spacing w:line="440" w:lineRule="exact"/>
        <w:ind w:firstLine="417" w:firstLineChars="199"/>
        <w:textAlignment w:val="auto"/>
        <w:rPr>
          <w:rFonts w:hint="default" w:ascii="Times New Roman" w:hAnsi="Times New Roman" w:eastAsia="宋体" w:cs="Times New Roman"/>
          <w:sz w:val="21"/>
          <w:szCs w:val="21"/>
        </w:rPr>
      </w:pPr>
      <w:r>
        <w:rPr>
          <w:rFonts w:hint="default" w:ascii="Times New Roman" w:hAnsi="Times New Roman" w:cs="Times New Roman"/>
          <w:sz w:val="21"/>
          <w:szCs w:val="21"/>
        </w:rPr>
        <w:t>随机数</w:t>
      </w:r>
      <w:r>
        <w:rPr>
          <w:rFonts w:hint="default" w:ascii="Times New Roman" w:hAnsi="Times New Roman" w:eastAsia="宋体" w:cs="Times New Roman"/>
          <w:sz w:val="21"/>
          <w:szCs w:val="21"/>
        </w:rPr>
        <w:t>一般可使用随机数表、随机数骰子或扑克牌等方法产生。</w:t>
      </w:r>
    </w:p>
    <w:p>
      <w:pPr>
        <w:keepNext w:val="0"/>
        <w:keepLines w:val="0"/>
        <w:pageBreakBefore w:val="0"/>
        <w:widowControl w:val="0"/>
        <w:kinsoku/>
        <w:wordWrap/>
        <w:overflowPunct/>
        <w:topLinePunct w:val="0"/>
        <w:autoSpaceDE/>
        <w:autoSpaceDN/>
        <w:bidi w:val="0"/>
        <w:adjustRightInd/>
        <w:snapToGrid w:val="0"/>
        <w:spacing w:line="440" w:lineRule="exact"/>
        <w:ind w:firstLine="417" w:firstLineChars="199"/>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抽取样品应为同一规格型号、同一批次产品</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抽查样品基数满足抽样数量即可。</w:t>
      </w:r>
    </w:p>
    <w:p>
      <w:pPr>
        <w:keepNext w:val="0"/>
        <w:keepLines w:val="0"/>
        <w:pageBreakBefore w:val="0"/>
        <w:widowControl w:val="0"/>
        <w:kinsoku/>
        <w:wordWrap/>
        <w:overflowPunct/>
        <w:topLinePunct w:val="0"/>
        <w:autoSpaceDE/>
        <w:autoSpaceDN/>
        <w:bidi w:val="0"/>
        <w:adjustRightInd/>
        <w:snapToGrid w:val="0"/>
        <w:spacing w:line="440" w:lineRule="exact"/>
        <w:ind w:firstLine="417" w:firstLineChars="199"/>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抽样数量：</w:t>
      </w:r>
      <w:r>
        <w:rPr>
          <w:rFonts w:hint="default" w:ascii="Times New Roman" w:hAnsi="Times New Roman" w:eastAsia="宋体" w:cs="Times New Roman"/>
          <w:sz w:val="21"/>
          <w:szCs w:val="21"/>
          <w:lang w:eastAsia="zh-CN"/>
        </w:rPr>
        <w:t>每批次产品抽取</w:t>
      </w:r>
      <w:r>
        <w:rPr>
          <w:rFonts w:hint="default" w:ascii="Times New Roman" w:hAnsi="Times New Roman" w:eastAsia="宋体" w:cs="Times New Roman"/>
          <w:sz w:val="21"/>
          <w:szCs w:val="21"/>
          <w:lang w:val="en-US" w:eastAsia="zh-CN"/>
        </w:rPr>
        <w:t>油墨</w:t>
      </w:r>
      <w:r>
        <w:rPr>
          <w:rFonts w:hint="default" w:ascii="Times New Roman" w:hAnsi="Times New Roman" w:eastAsia="宋体" w:cs="Times New Roman"/>
          <w:sz w:val="21"/>
          <w:szCs w:val="21"/>
          <w:lang w:eastAsia="zh-CN"/>
        </w:rPr>
        <w:t>样品</w:t>
      </w:r>
      <w:r>
        <w:rPr>
          <w:rFonts w:hint="default" w:ascii="Times New Roman" w:hAnsi="Times New Roman" w:eastAsia="宋体" w:cs="Times New Roman"/>
          <w:sz w:val="21"/>
          <w:szCs w:val="21"/>
          <w:lang w:val="en-US" w:eastAsia="zh-CN"/>
        </w:rPr>
        <w:t>200克，成型品10个</w:t>
      </w:r>
      <w:r>
        <w:rPr>
          <w:rFonts w:hint="default" w:ascii="Times New Roman" w:hAnsi="Times New Roman" w:cs="Times New Roman"/>
          <w:sz w:val="21"/>
          <w:szCs w:val="21"/>
          <w:lang w:val="en-US" w:eastAsia="zh-CN"/>
        </w:rPr>
        <w:t>，</w:t>
      </w:r>
      <w:r>
        <w:rPr>
          <w:rFonts w:hint="default" w:ascii="Times New Roman" w:hAnsi="Times New Roman" w:eastAsia="宋体" w:cs="Times New Roman"/>
          <w:sz w:val="21"/>
          <w:szCs w:val="21"/>
          <w:lang w:val="en-US" w:eastAsia="zh-CN"/>
        </w:rPr>
        <w:t>平均分为2份，其中1份作为检验样品，1份作为备用样品。</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eastAsia="zh-CN"/>
        </w:rPr>
        <w:t>产品抽样数量可根据样品的实际大小，在满足检验的条件下做适当调整。</w:t>
      </w:r>
    </w:p>
    <w:p>
      <w:pPr>
        <w:spacing w:before="156" w:beforeLines="50" w:line="360" w:lineRule="auto"/>
        <w:rPr>
          <w:rFonts w:hint="default" w:ascii="Times New Roman" w:hAnsi="Times New Roman" w:eastAsia="仿宋" w:cs="Times New Roman"/>
          <w:b/>
          <w:sz w:val="24"/>
          <w:szCs w:val="24"/>
          <w:lang w:val="en-US" w:eastAsia="zh-CN"/>
        </w:rPr>
      </w:pPr>
      <w:r>
        <w:rPr>
          <w:rFonts w:hint="default" w:ascii="Times New Roman" w:hAnsi="Times New Roman" w:eastAsia="仿宋" w:cs="Times New Roman"/>
          <w:b/>
          <w:sz w:val="24"/>
          <w:szCs w:val="24"/>
        </w:rPr>
        <w:t>2 检验依据</w:t>
      </w:r>
    </w:p>
    <w:p>
      <w:pPr>
        <w:adjustRightInd w:val="0"/>
        <w:snapToGrid w:val="0"/>
        <w:spacing w:line="360" w:lineRule="auto"/>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rPr>
        <w:t>表</w:t>
      </w:r>
      <w:r>
        <w:rPr>
          <w:rFonts w:hint="default" w:ascii="Times New Roman" w:hAnsi="Times New Roman" w:cs="Times New Roman"/>
          <w:sz w:val="21"/>
          <w:szCs w:val="21"/>
          <w:lang w:val="en-US" w:eastAsia="zh-CN"/>
        </w:rPr>
        <w:t>1</w:t>
      </w:r>
      <w:r>
        <w:rPr>
          <w:rFonts w:hint="default" w:ascii="Times New Roman" w:hAnsi="Times New Roman" w:cs="Times New Roman"/>
          <w:sz w:val="21"/>
          <w:szCs w:val="21"/>
        </w:rPr>
        <w:t xml:space="preserve"> </w:t>
      </w:r>
      <w:r>
        <w:rPr>
          <w:rFonts w:hint="default" w:ascii="Times New Roman" w:hAnsi="Times New Roman" w:cs="Times New Roman"/>
          <w:sz w:val="21"/>
          <w:szCs w:val="21"/>
          <w:lang w:eastAsia="zh-CN"/>
        </w:rPr>
        <w:t>食品接触</w:t>
      </w:r>
      <w:r>
        <w:rPr>
          <w:rFonts w:hint="default" w:ascii="Times New Roman" w:hAnsi="Times New Roman" w:cs="Times New Roman"/>
          <w:sz w:val="21"/>
          <w:szCs w:val="21"/>
          <w:lang w:val="en-US" w:eastAsia="zh-CN"/>
        </w:rPr>
        <w:t>材料及制品</w:t>
      </w:r>
      <w:r>
        <w:rPr>
          <w:rFonts w:hint="default" w:ascii="Times New Roman" w:hAnsi="Times New Roman" w:cs="Times New Roman"/>
          <w:sz w:val="21"/>
          <w:szCs w:val="21"/>
          <w:lang w:eastAsia="zh-CN"/>
        </w:rPr>
        <w:t>用油墨</w:t>
      </w:r>
      <w:r>
        <w:rPr>
          <w:rFonts w:hint="default" w:ascii="Times New Roman" w:hAnsi="Times New Roman" w:cs="Times New Roman"/>
          <w:sz w:val="21"/>
          <w:szCs w:val="21"/>
          <w:lang w:val="en-US" w:eastAsia="zh-CN"/>
        </w:rPr>
        <w:t>产品检验项目、依据及方法</w:t>
      </w:r>
    </w:p>
    <w:tbl>
      <w:tblPr>
        <w:tblStyle w:val="8"/>
        <w:tblW w:w="511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1"/>
        <w:gridCol w:w="2896"/>
        <w:gridCol w:w="2290"/>
        <w:gridCol w:w="2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4" w:type="pct"/>
            <w:vAlign w:val="center"/>
          </w:tcPr>
          <w:p>
            <w:pPr>
              <w:spacing w:line="300" w:lineRule="auto"/>
              <w:jc w:val="center"/>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序号</w:t>
            </w:r>
          </w:p>
        </w:tc>
        <w:tc>
          <w:tcPr>
            <w:tcW w:w="1663" w:type="pct"/>
            <w:vAlign w:val="center"/>
          </w:tcPr>
          <w:p>
            <w:pPr>
              <w:spacing w:line="300" w:lineRule="auto"/>
              <w:jc w:val="center"/>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检验项目</w:t>
            </w:r>
          </w:p>
        </w:tc>
        <w:tc>
          <w:tcPr>
            <w:tcW w:w="1315" w:type="pct"/>
            <w:vAlign w:val="top"/>
          </w:tcPr>
          <w:p>
            <w:pPr>
              <w:spacing w:line="300" w:lineRule="auto"/>
              <w:jc w:val="center"/>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检验依据</w:t>
            </w:r>
          </w:p>
        </w:tc>
        <w:tc>
          <w:tcPr>
            <w:tcW w:w="1565" w:type="pct"/>
            <w:vAlign w:val="top"/>
          </w:tcPr>
          <w:p>
            <w:pPr>
              <w:spacing w:line="300" w:lineRule="auto"/>
              <w:jc w:val="center"/>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4" w:type="pct"/>
            <w:vAlign w:val="center"/>
          </w:tcPr>
          <w:p>
            <w:pPr>
              <w:spacing w:line="300" w:lineRule="auto"/>
              <w:jc w:val="center"/>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1</w:t>
            </w:r>
          </w:p>
        </w:tc>
        <w:tc>
          <w:tcPr>
            <w:tcW w:w="1663" w:type="pct"/>
            <w:vAlign w:val="center"/>
          </w:tcPr>
          <w:p>
            <w:pPr>
              <w:spacing w:line="300" w:lineRule="auto"/>
              <w:jc w:val="center"/>
              <w:rPr>
                <w:rFonts w:hint="default" w:ascii="Times New Roman" w:hAnsi="Times New Roman" w:eastAsia="宋体" w:cs="Times New Roman"/>
                <w:bCs/>
                <w:sz w:val="21"/>
                <w:szCs w:val="21"/>
                <w:lang w:eastAsia="zh-CN"/>
              </w:rPr>
            </w:pPr>
            <w:r>
              <w:rPr>
                <w:rFonts w:hint="default" w:ascii="Times New Roman" w:hAnsi="Times New Roman" w:eastAsia="宋体" w:cs="Times New Roman"/>
                <w:bCs/>
                <w:sz w:val="21"/>
                <w:szCs w:val="21"/>
                <w:lang w:eastAsia="zh-CN"/>
              </w:rPr>
              <w:t>感官</w:t>
            </w:r>
          </w:p>
        </w:tc>
        <w:tc>
          <w:tcPr>
            <w:tcW w:w="1315" w:type="pct"/>
            <w:vAlign w:val="center"/>
          </w:tcPr>
          <w:p>
            <w:pPr>
              <w:spacing w:line="300" w:lineRule="auto"/>
              <w:jc w:val="center"/>
              <w:rPr>
                <w:rFonts w:hint="default" w:ascii="Times New Roman" w:hAnsi="Times New Roman" w:eastAsia="宋体" w:cs="Times New Roman"/>
                <w:bCs/>
                <w:sz w:val="21"/>
                <w:szCs w:val="21"/>
                <w:lang w:val="en-US" w:eastAsia="zh-CN"/>
              </w:rPr>
            </w:pPr>
            <w:r>
              <w:rPr>
                <w:rFonts w:hint="default" w:ascii="Times New Roman" w:hAnsi="Times New Roman" w:eastAsia="宋体" w:cs="Times New Roman"/>
                <w:bCs/>
                <w:sz w:val="21"/>
                <w:szCs w:val="21"/>
              </w:rPr>
              <w:t>GB 4806.</w:t>
            </w:r>
            <w:r>
              <w:rPr>
                <w:rFonts w:hint="default" w:ascii="Times New Roman" w:hAnsi="Times New Roman" w:eastAsia="宋体" w:cs="Times New Roman"/>
                <w:bCs/>
                <w:sz w:val="21"/>
                <w:szCs w:val="21"/>
                <w:lang w:val="en-US" w:eastAsia="zh-CN"/>
              </w:rPr>
              <w:t>14</w:t>
            </w:r>
            <w:r>
              <w:rPr>
                <w:rFonts w:hint="default" w:ascii="Times New Roman" w:hAnsi="Times New Roman" w:eastAsia="宋体" w:cs="Times New Roman"/>
                <w:bCs/>
                <w:sz w:val="21"/>
                <w:szCs w:val="21"/>
              </w:rPr>
              <w:t>-20</w:t>
            </w:r>
            <w:r>
              <w:rPr>
                <w:rFonts w:hint="default" w:ascii="Times New Roman" w:hAnsi="Times New Roman" w:eastAsia="宋体" w:cs="Times New Roman"/>
                <w:bCs/>
                <w:sz w:val="21"/>
                <w:szCs w:val="21"/>
                <w:lang w:val="en-US" w:eastAsia="zh-CN"/>
              </w:rPr>
              <w:t>23</w:t>
            </w:r>
          </w:p>
        </w:tc>
        <w:tc>
          <w:tcPr>
            <w:tcW w:w="1565" w:type="pct"/>
            <w:vAlign w:val="center"/>
          </w:tcPr>
          <w:p>
            <w:pPr>
              <w:spacing w:line="300" w:lineRule="auto"/>
              <w:jc w:val="center"/>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GB 4806.</w:t>
            </w:r>
            <w:r>
              <w:rPr>
                <w:rFonts w:hint="default" w:ascii="Times New Roman" w:hAnsi="Times New Roman" w:eastAsia="宋体" w:cs="Times New Roman"/>
                <w:bCs/>
                <w:sz w:val="21"/>
                <w:szCs w:val="21"/>
                <w:lang w:val="en-US" w:eastAsia="zh-CN"/>
              </w:rPr>
              <w:t>14</w:t>
            </w:r>
            <w:r>
              <w:rPr>
                <w:rFonts w:hint="default" w:ascii="Times New Roman" w:hAnsi="Times New Roman" w:eastAsia="宋体" w:cs="Times New Roman"/>
                <w:bCs/>
                <w:sz w:val="21"/>
                <w:szCs w:val="21"/>
              </w:rPr>
              <w:t>-20</w:t>
            </w:r>
            <w:r>
              <w:rPr>
                <w:rFonts w:hint="default" w:ascii="Times New Roman" w:hAnsi="Times New Roman" w:eastAsia="宋体" w:cs="Times New Roman"/>
                <w:bCs/>
                <w:sz w:val="21"/>
                <w:szCs w:val="21"/>
                <w:lang w:val="en-US" w:eastAsia="zh-CN"/>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4" w:type="pct"/>
            <w:vAlign w:val="center"/>
          </w:tcPr>
          <w:p>
            <w:pPr>
              <w:spacing w:line="300" w:lineRule="auto"/>
              <w:jc w:val="center"/>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2</w:t>
            </w:r>
          </w:p>
        </w:tc>
        <w:tc>
          <w:tcPr>
            <w:tcW w:w="1663" w:type="pct"/>
            <w:vAlign w:val="center"/>
          </w:tcPr>
          <w:p>
            <w:pPr>
              <w:spacing w:line="300" w:lineRule="auto"/>
              <w:jc w:val="center"/>
              <w:rPr>
                <w:rFonts w:hint="default" w:ascii="Times New Roman" w:hAnsi="Times New Roman" w:eastAsia="宋体" w:cs="Times New Roman"/>
                <w:bCs/>
                <w:sz w:val="21"/>
                <w:szCs w:val="21"/>
                <w:lang w:val="en-US" w:eastAsia="zh-CN"/>
              </w:rPr>
            </w:pPr>
            <w:r>
              <w:rPr>
                <w:rFonts w:hint="default" w:ascii="Times New Roman" w:hAnsi="Times New Roman" w:eastAsia="宋体" w:cs="Times New Roman"/>
                <w:bCs/>
                <w:sz w:val="21"/>
                <w:szCs w:val="21"/>
                <w:lang w:eastAsia="zh-CN"/>
              </w:rPr>
              <w:t>铅（</w:t>
            </w:r>
            <w:r>
              <w:rPr>
                <w:rFonts w:hint="default" w:ascii="Times New Roman" w:hAnsi="Times New Roman" w:eastAsia="宋体" w:cs="Times New Roman"/>
                <w:bCs/>
                <w:sz w:val="21"/>
                <w:szCs w:val="21"/>
                <w:lang w:val="en-US" w:eastAsia="zh-CN"/>
              </w:rPr>
              <w:t>Pb）</w:t>
            </w:r>
            <w:r>
              <w:rPr>
                <w:rFonts w:hint="default" w:ascii="Times New Roman" w:hAnsi="Times New Roman" w:eastAsia="宋体" w:cs="Times New Roman"/>
                <w:bCs/>
                <w:sz w:val="21"/>
                <w:szCs w:val="21"/>
                <w:vertAlign w:val="superscript"/>
                <w:lang w:val="en-US" w:eastAsia="zh-CN"/>
              </w:rPr>
              <w:t>a</w:t>
            </w:r>
          </w:p>
        </w:tc>
        <w:tc>
          <w:tcPr>
            <w:tcW w:w="1315" w:type="pct"/>
            <w:vAlign w:val="center"/>
          </w:tcPr>
          <w:p>
            <w:pPr>
              <w:spacing w:line="300" w:lineRule="auto"/>
              <w:jc w:val="center"/>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GB 4806.</w:t>
            </w:r>
            <w:r>
              <w:rPr>
                <w:rFonts w:hint="default" w:ascii="Times New Roman" w:hAnsi="Times New Roman" w:eastAsia="宋体" w:cs="Times New Roman"/>
                <w:bCs/>
                <w:sz w:val="21"/>
                <w:szCs w:val="21"/>
                <w:lang w:val="en-US" w:eastAsia="zh-CN"/>
              </w:rPr>
              <w:t>14</w:t>
            </w:r>
            <w:r>
              <w:rPr>
                <w:rFonts w:hint="default" w:ascii="Times New Roman" w:hAnsi="Times New Roman" w:eastAsia="宋体" w:cs="Times New Roman"/>
                <w:bCs/>
                <w:sz w:val="21"/>
                <w:szCs w:val="21"/>
              </w:rPr>
              <w:t>-20</w:t>
            </w:r>
            <w:r>
              <w:rPr>
                <w:rFonts w:hint="default" w:ascii="Times New Roman" w:hAnsi="Times New Roman" w:eastAsia="宋体" w:cs="Times New Roman"/>
                <w:bCs/>
                <w:sz w:val="21"/>
                <w:szCs w:val="21"/>
                <w:lang w:val="en-US" w:eastAsia="zh-CN"/>
              </w:rPr>
              <w:t>23</w:t>
            </w:r>
          </w:p>
        </w:tc>
        <w:tc>
          <w:tcPr>
            <w:tcW w:w="1565" w:type="pct"/>
            <w:vAlign w:val="center"/>
          </w:tcPr>
          <w:p>
            <w:pPr>
              <w:spacing w:line="300" w:lineRule="auto"/>
              <w:jc w:val="center"/>
              <w:rPr>
                <w:rFonts w:hint="default" w:ascii="Times New Roman" w:hAnsi="Times New Roman" w:eastAsia="宋体" w:cs="Times New Roman"/>
                <w:bCs/>
                <w:sz w:val="21"/>
                <w:szCs w:val="21"/>
                <w:lang w:val="en-US"/>
              </w:rPr>
            </w:pPr>
            <w:r>
              <w:rPr>
                <w:rFonts w:hint="default" w:ascii="Times New Roman" w:hAnsi="Times New Roman" w:eastAsia="宋体" w:cs="Times New Roman"/>
                <w:bCs/>
                <w:sz w:val="21"/>
                <w:szCs w:val="21"/>
              </w:rPr>
              <w:t>GB 4806.</w:t>
            </w:r>
            <w:r>
              <w:rPr>
                <w:rFonts w:hint="default" w:ascii="Times New Roman" w:hAnsi="Times New Roman" w:eastAsia="宋体" w:cs="Times New Roman"/>
                <w:bCs/>
                <w:sz w:val="21"/>
                <w:szCs w:val="21"/>
                <w:lang w:val="en-US" w:eastAsia="zh-CN"/>
              </w:rPr>
              <w:t>14</w:t>
            </w:r>
            <w:r>
              <w:rPr>
                <w:rFonts w:hint="default" w:ascii="Times New Roman" w:hAnsi="Times New Roman" w:eastAsia="宋体" w:cs="Times New Roman"/>
                <w:bCs/>
                <w:sz w:val="21"/>
                <w:szCs w:val="21"/>
              </w:rPr>
              <w:t>-20</w:t>
            </w:r>
            <w:r>
              <w:rPr>
                <w:rFonts w:hint="default" w:ascii="Times New Roman" w:hAnsi="Times New Roman" w:eastAsia="宋体" w:cs="Times New Roman"/>
                <w:bCs/>
                <w:sz w:val="21"/>
                <w:szCs w:val="21"/>
                <w:lang w:val="en-US" w:eastAsia="zh-CN"/>
              </w:rPr>
              <w:t>23 附录A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54" w:type="pct"/>
            <w:vAlign w:val="center"/>
          </w:tcPr>
          <w:p>
            <w:pPr>
              <w:spacing w:line="300" w:lineRule="auto"/>
              <w:jc w:val="center"/>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3</w:t>
            </w:r>
          </w:p>
        </w:tc>
        <w:tc>
          <w:tcPr>
            <w:tcW w:w="1663" w:type="pct"/>
            <w:vAlign w:val="center"/>
          </w:tcPr>
          <w:p>
            <w:pPr>
              <w:spacing w:line="300" w:lineRule="auto"/>
              <w:jc w:val="center"/>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lang w:eastAsia="zh-CN"/>
              </w:rPr>
              <w:t>汞（</w:t>
            </w:r>
            <w:r>
              <w:rPr>
                <w:rFonts w:hint="default" w:ascii="Times New Roman" w:hAnsi="Times New Roman" w:eastAsia="宋体" w:cs="Times New Roman"/>
                <w:bCs/>
                <w:sz w:val="21"/>
                <w:szCs w:val="21"/>
                <w:lang w:val="en-US" w:eastAsia="zh-CN"/>
              </w:rPr>
              <w:t>Hg）</w:t>
            </w:r>
            <w:r>
              <w:rPr>
                <w:rFonts w:hint="default" w:ascii="Times New Roman" w:hAnsi="Times New Roman" w:eastAsia="宋体" w:cs="Times New Roman"/>
                <w:bCs/>
                <w:sz w:val="21"/>
                <w:szCs w:val="21"/>
                <w:vertAlign w:val="superscript"/>
                <w:lang w:val="en-US" w:eastAsia="zh-CN"/>
              </w:rPr>
              <w:t>a</w:t>
            </w:r>
          </w:p>
        </w:tc>
        <w:tc>
          <w:tcPr>
            <w:tcW w:w="1315" w:type="pct"/>
            <w:vAlign w:val="center"/>
          </w:tcPr>
          <w:p>
            <w:pPr>
              <w:spacing w:line="300" w:lineRule="auto"/>
              <w:jc w:val="center"/>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GB 4806.</w:t>
            </w:r>
            <w:r>
              <w:rPr>
                <w:rFonts w:hint="default" w:ascii="Times New Roman" w:hAnsi="Times New Roman" w:eastAsia="宋体" w:cs="Times New Roman"/>
                <w:bCs/>
                <w:sz w:val="21"/>
                <w:szCs w:val="21"/>
                <w:lang w:val="en-US" w:eastAsia="zh-CN"/>
              </w:rPr>
              <w:t>14</w:t>
            </w:r>
            <w:r>
              <w:rPr>
                <w:rFonts w:hint="default" w:ascii="Times New Roman" w:hAnsi="Times New Roman" w:eastAsia="宋体" w:cs="Times New Roman"/>
                <w:bCs/>
                <w:sz w:val="21"/>
                <w:szCs w:val="21"/>
              </w:rPr>
              <w:t>-20</w:t>
            </w:r>
            <w:r>
              <w:rPr>
                <w:rFonts w:hint="default" w:ascii="Times New Roman" w:hAnsi="Times New Roman" w:eastAsia="宋体" w:cs="Times New Roman"/>
                <w:bCs/>
                <w:sz w:val="21"/>
                <w:szCs w:val="21"/>
                <w:lang w:val="en-US" w:eastAsia="zh-CN"/>
              </w:rPr>
              <w:t>23</w:t>
            </w:r>
          </w:p>
        </w:tc>
        <w:tc>
          <w:tcPr>
            <w:tcW w:w="1565" w:type="pct"/>
            <w:vAlign w:val="center"/>
          </w:tcPr>
          <w:p>
            <w:pPr>
              <w:spacing w:line="300" w:lineRule="auto"/>
              <w:jc w:val="center"/>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GB 4806.</w:t>
            </w:r>
            <w:r>
              <w:rPr>
                <w:rFonts w:hint="default" w:ascii="Times New Roman" w:hAnsi="Times New Roman" w:eastAsia="宋体" w:cs="Times New Roman"/>
                <w:bCs/>
                <w:sz w:val="21"/>
                <w:szCs w:val="21"/>
                <w:lang w:val="en-US" w:eastAsia="zh-CN"/>
              </w:rPr>
              <w:t>14</w:t>
            </w:r>
            <w:r>
              <w:rPr>
                <w:rFonts w:hint="default" w:ascii="Times New Roman" w:hAnsi="Times New Roman" w:eastAsia="宋体" w:cs="Times New Roman"/>
                <w:bCs/>
                <w:sz w:val="21"/>
                <w:szCs w:val="21"/>
              </w:rPr>
              <w:t>-20</w:t>
            </w:r>
            <w:r>
              <w:rPr>
                <w:rFonts w:hint="default" w:ascii="Times New Roman" w:hAnsi="Times New Roman" w:eastAsia="宋体" w:cs="Times New Roman"/>
                <w:bCs/>
                <w:sz w:val="21"/>
                <w:szCs w:val="21"/>
                <w:lang w:val="en-US" w:eastAsia="zh-CN"/>
              </w:rPr>
              <w:t>23 附录A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4" w:type="pct"/>
            <w:vAlign w:val="center"/>
          </w:tcPr>
          <w:p>
            <w:pPr>
              <w:spacing w:line="300" w:lineRule="auto"/>
              <w:jc w:val="center"/>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4</w:t>
            </w:r>
          </w:p>
        </w:tc>
        <w:tc>
          <w:tcPr>
            <w:tcW w:w="1663" w:type="pct"/>
            <w:vAlign w:val="center"/>
          </w:tcPr>
          <w:p>
            <w:pPr>
              <w:spacing w:line="300" w:lineRule="auto"/>
              <w:jc w:val="center"/>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lang w:eastAsia="zh-CN"/>
              </w:rPr>
              <w:t>镉（</w:t>
            </w:r>
            <w:r>
              <w:rPr>
                <w:rFonts w:hint="default" w:ascii="Times New Roman" w:hAnsi="Times New Roman" w:eastAsia="宋体" w:cs="Times New Roman"/>
                <w:bCs/>
                <w:sz w:val="21"/>
                <w:szCs w:val="21"/>
                <w:lang w:val="en-US" w:eastAsia="zh-CN"/>
              </w:rPr>
              <w:t>Cd）</w:t>
            </w:r>
            <w:r>
              <w:rPr>
                <w:rFonts w:hint="default" w:ascii="Times New Roman" w:hAnsi="Times New Roman" w:eastAsia="宋体" w:cs="Times New Roman"/>
                <w:bCs/>
                <w:sz w:val="21"/>
                <w:szCs w:val="21"/>
                <w:vertAlign w:val="superscript"/>
                <w:lang w:val="en-US" w:eastAsia="zh-CN"/>
              </w:rPr>
              <w:t>a</w:t>
            </w:r>
          </w:p>
        </w:tc>
        <w:tc>
          <w:tcPr>
            <w:tcW w:w="1315" w:type="pct"/>
            <w:vAlign w:val="center"/>
          </w:tcPr>
          <w:p>
            <w:pPr>
              <w:spacing w:line="300" w:lineRule="auto"/>
              <w:jc w:val="center"/>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GB 4806.</w:t>
            </w:r>
            <w:r>
              <w:rPr>
                <w:rFonts w:hint="default" w:ascii="Times New Roman" w:hAnsi="Times New Roman" w:eastAsia="宋体" w:cs="Times New Roman"/>
                <w:bCs/>
                <w:sz w:val="21"/>
                <w:szCs w:val="21"/>
                <w:lang w:val="en-US" w:eastAsia="zh-CN"/>
              </w:rPr>
              <w:t>14</w:t>
            </w:r>
            <w:r>
              <w:rPr>
                <w:rFonts w:hint="default" w:ascii="Times New Roman" w:hAnsi="Times New Roman" w:eastAsia="宋体" w:cs="Times New Roman"/>
                <w:bCs/>
                <w:sz w:val="21"/>
                <w:szCs w:val="21"/>
              </w:rPr>
              <w:t>-20</w:t>
            </w:r>
            <w:r>
              <w:rPr>
                <w:rFonts w:hint="default" w:ascii="Times New Roman" w:hAnsi="Times New Roman" w:eastAsia="宋体" w:cs="Times New Roman"/>
                <w:bCs/>
                <w:sz w:val="21"/>
                <w:szCs w:val="21"/>
                <w:lang w:val="en-US" w:eastAsia="zh-CN"/>
              </w:rPr>
              <w:t>23</w:t>
            </w:r>
          </w:p>
        </w:tc>
        <w:tc>
          <w:tcPr>
            <w:tcW w:w="1565" w:type="pct"/>
            <w:vAlign w:val="center"/>
          </w:tcPr>
          <w:p>
            <w:pPr>
              <w:spacing w:line="300" w:lineRule="auto"/>
              <w:jc w:val="center"/>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GB 4806.</w:t>
            </w:r>
            <w:r>
              <w:rPr>
                <w:rFonts w:hint="default" w:ascii="Times New Roman" w:hAnsi="Times New Roman" w:eastAsia="宋体" w:cs="Times New Roman"/>
                <w:bCs/>
                <w:sz w:val="21"/>
                <w:szCs w:val="21"/>
                <w:lang w:val="en-US" w:eastAsia="zh-CN"/>
              </w:rPr>
              <w:t>14</w:t>
            </w:r>
            <w:r>
              <w:rPr>
                <w:rFonts w:hint="default" w:ascii="Times New Roman" w:hAnsi="Times New Roman" w:eastAsia="宋体" w:cs="Times New Roman"/>
                <w:bCs/>
                <w:sz w:val="21"/>
                <w:szCs w:val="21"/>
              </w:rPr>
              <w:t>-20</w:t>
            </w:r>
            <w:r>
              <w:rPr>
                <w:rFonts w:hint="default" w:ascii="Times New Roman" w:hAnsi="Times New Roman" w:eastAsia="宋体" w:cs="Times New Roman"/>
                <w:bCs/>
                <w:sz w:val="21"/>
                <w:szCs w:val="21"/>
                <w:lang w:val="en-US" w:eastAsia="zh-CN"/>
              </w:rPr>
              <w:t>23 附录A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4" w:type="pct"/>
            <w:vAlign w:val="center"/>
          </w:tcPr>
          <w:p>
            <w:pPr>
              <w:spacing w:line="300" w:lineRule="auto"/>
              <w:jc w:val="center"/>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5</w:t>
            </w:r>
          </w:p>
        </w:tc>
        <w:tc>
          <w:tcPr>
            <w:tcW w:w="1663" w:type="pct"/>
            <w:vAlign w:val="center"/>
          </w:tcPr>
          <w:p>
            <w:pPr>
              <w:spacing w:line="300" w:lineRule="auto"/>
              <w:jc w:val="center"/>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lang w:eastAsia="zh-CN"/>
              </w:rPr>
              <w:t>铬（</w:t>
            </w:r>
            <w:r>
              <w:rPr>
                <w:rFonts w:hint="default" w:ascii="Times New Roman" w:hAnsi="Times New Roman" w:eastAsia="宋体" w:cs="Times New Roman"/>
                <w:bCs/>
                <w:sz w:val="21"/>
                <w:szCs w:val="21"/>
                <w:lang w:val="en-US" w:eastAsia="zh-CN"/>
              </w:rPr>
              <w:t>Cr）</w:t>
            </w:r>
            <w:r>
              <w:rPr>
                <w:rFonts w:hint="default" w:ascii="Times New Roman" w:hAnsi="Times New Roman" w:eastAsia="宋体" w:cs="Times New Roman"/>
                <w:bCs/>
                <w:sz w:val="21"/>
                <w:szCs w:val="21"/>
                <w:vertAlign w:val="superscript"/>
                <w:lang w:val="en-US" w:eastAsia="zh-CN"/>
              </w:rPr>
              <w:t>a</w:t>
            </w:r>
          </w:p>
        </w:tc>
        <w:tc>
          <w:tcPr>
            <w:tcW w:w="1315" w:type="pct"/>
            <w:vAlign w:val="center"/>
          </w:tcPr>
          <w:p>
            <w:pPr>
              <w:spacing w:line="300" w:lineRule="auto"/>
              <w:jc w:val="center"/>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GB 4806.</w:t>
            </w:r>
            <w:r>
              <w:rPr>
                <w:rFonts w:hint="default" w:ascii="Times New Roman" w:hAnsi="Times New Roman" w:eastAsia="宋体" w:cs="Times New Roman"/>
                <w:bCs/>
                <w:sz w:val="21"/>
                <w:szCs w:val="21"/>
                <w:lang w:val="en-US" w:eastAsia="zh-CN"/>
              </w:rPr>
              <w:t>14</w:t>
            </w:r>
            <w:r>
              <w:rPr>
                <w:rFonts w:hint="default" w:ascii="Times New Roman" w:hAnsi="Times New Roman" w:eastAsia="宋体" w:cs="Times New Roman"/>
                <w:bCs/>
                <w:sz w:val="21"/>
                <w:szCs w:val="21"/>
              </w:rPr>
              <w:t>-20</w:t>
            </w:r>
            <w:r>
              <w:rPr>
                <w:rFonts w:hint="default" w:ascii="Times New Roman" w:hAnsi="Times New Roman" w:eastAsia="宋体" w:cs="Times New Roman"/>
                <w:bCs/>
                <w:sz w:val="21"/>
                <w:szCs w:val="21"/>
                <w:lang w:val="en-US" w:eastAsia="zh-CN"/>
              </w:rPr>
              <w:t>23</w:t>
            </w:r>
          </w:p>
        </w:tc>
        <w:tc>
          <w:tcPr>
            <w:tcW w:w="1565" w:type="pct"/>
            <w:vAlign w:val="center"/>
          </w:tcPr>
          <w:p>
            <w:pPr>
              <w:spacing w:line="300" w:lineRule="auto"/>
              <w:jc w:val="center"/>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GB 4806.</w:t>
            </w:r>
            <w:r>
              <w:rPr>
                <w:rFonts w:hint="default" w:ascii="Times New Roman" w:hAnsi="Times New Roman" w:eastAsia="宋体" w:cs="Times New Roman"/>
                <w:bCs/>
                <w:sz w:val="21"/>
                <w:szCs w:val="21"/>
                <w:lang w:val="en-US" w:eastAsia="zh-CN"/>
              </w:rPr>
              <w:t>14</w:t>
            </w:r>
            <w:r>
              <w:rPr>
                <w:rFonts w:hint="default" w:ascii="Times New Roman" w:hAnsi="Times New Roman" w:eastAsia="宋体" w:cs="Times New Roman"/>
                <w:bCs/>
                <w:sz w:val="21"/>
                <w:szCs w:val="21"/>
              </w:rPr>
              <w:t>-20</w:t>
            </w:r>
            <w:r>
              <w:rPr>
                <w:rFonts w:hint="default" w:ascii="Times New Roman" w:hAnsi="Times New Roman" w:eastAsia="宋体" w:cs="Times New Roman"/>
                <w:bCs/>
                <w:sz w:val="21"/>
                <w:szCs w:val="21"/>
                <w:lang w:val="en-US" w:eastAsia="zh-CN"/>
              </w:rPr>
              <w:t>23 附录A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4" w:type="pct"/>
            <w:vAlign w:val="center"/>
          </w:tcPr>
          <w:p>
            <w:pPr>
              <w:spacing w:line="300" w:lineRule="auto"/>
              <w:jc w:val="center"/>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6</w:t>
            </w:r>
          </w:p>
        </w:tc>
        <w:tc>
          <w:tcPr>
            <w:tcW w:w="1663" w:type="pct"/>
            <w:vAlign w:val="center"/>
          </w:tcPr>
          <w:p>
            <w:pPr>
              <w:spacing w:line="300" w:lineRule="auto"/>
              <w:jc w:val="center"/>
              <w:rPr>
                <w:rFonts w:hint="default" w:ascii="Times New Roman" w:hAnsi="Times New Roman" w:eastAsia="宋体" w:cs="Times New Roman"/>
                <w:bCs/>
                <w:sz w:val="21"/>
                <w:szCs w:val="21"/>
                <w:lang w:val="en-US"/>
              </w:rPr>
            </w:pPr>
            <w:r>
              <w:rPr>
                <w:rFonts w:hint="default" w:ascii="Times New Roman" w:hAnsi="Times New Roman" w:eastAsia="宋体" w:cs="Times New Roman"/>
                <w:bCs/>
                <w:sz w:val="21"/>
                <w:szCs w:val="21"/>
                <w:lang w:eastAsia="zh-CN"/>
              </w:rPr>
              <w:t>砷（</w:t>
            </w:r>
            <w:r>
              <w:rPr>
                <w:rFonts w:hint="default" w:ascii="Times New Roman" w:hAnsi="Times New Roman" w:eastAsia="宋体" w:cs="Times New Roman"/>
                <w:bCs/>
                <w:sz w:val="21"/>
                <w:szCs w:val="21"/>
                <w:lang w:val="en-US" w:eastAsia="zh-CN"/>
              </w:rPr>
              <w:t>As）</w:t>
            </w:r>
            <w:r>
              <w:rPr>
                <w:rFonts w:hint="default" w:ascii="Times New Roman" w:hAnsi="Times New Roman" w:eastAsia="宋体" w:cs="Times New Roman"/>
                <w:bCs/>
                <w:sz w:val="21"/>
                <w:szCs w:val="21"/>
                <w:vertAlign w:val="superscript"/>
                <w:lang w:val="en-US" w:eastAsia="zh-CN"/>
              </w:rPr>
              <w:t>a</w:t>
            </w:r>
          </w:p>
        </w:tc>
        <w:tc>
          <w:tcPr>
            <w:tcW w:w="1315" w:type="pct"/>
            <w:vAlign w:val="center"/>
          </w:tcPr>
          <w:p>
            <w:pPr>
              <w:spacing w:line="300" w:lineRule="auto"/>
              <w:jc w:val="center"/>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GB 4806.</w:t>
            </w:r>
            <w:r>
              <w:rPr>
                <w:rFonts w:hint="default" w:ascii="Times New Roman" w:hAnsi="Times New Roman" w:eastAsia="宋体" w:cs="Times New Roman"/>
                <w:bCs/>
                <w:sz w:val="21"/>
                <w:szCs w:val="21"/>
                <w:lang w:val="en-US" w:eastAsia="zh-CN"/>
              </w:rPr>
              <w:t>14</w:t>
            </w:r>
            <w:r>
              <w:rPr>
                <w:rFonts w:hint="default" w:ascii="Times New Roman" w:hAnsi="Times New Roman" w:eastAsia="宋体" w:cs="Times New Roman"/>
                <w:bCs/>
                <w:sz w:val="21"/>
                <w:szCs w:val="21"/>
              </w:rPr>
              <w:t>-20</w:t>
            </w:r>
            <w:r>
              <w:rPr>
                <w:rFonts w:hint="default" w:ascii="Times New Roman" w:hAnsi="Times New Roman" w:eastAsia="宋体" w:cs="Times New Roman"/>
                <w:bCs/>
                <w:sz w:val="21"/>
                <w:szCs w:val="21"/>
                <w:lang w:val="en-US" w:eastAsia="zh-CN"/>
              </w:rPr>
              <w:t>23</w:t>
            </w:r>
          </w:p>
        </w:tc>
        <w:tc>
          <w:tcPr>
            <w:tcW w:w="1565" w:type="pct"/>
            <w:vAlign w:val="center"/>
          </w:tcPr>
          <w:p>
            <w:pPr>
              <w:spacing w:line="300" w:lineRule="auto"/>
              <w:jc w:val="center"/>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GB 4806.</w:t>
            </w:r>
            <w:r>
              <w:rPr>
                <w:rFonts w:hint="default" w:ascii="Times New Roman" w:hAnsi="Times New Roman" w:eastAsia="宋体" w:cs="Times New Roman"/>
                <w:bCs/>
                <w:sz w:val="21"/>
                <w:szCs w:val="21"/>
                <w:lang w:val="en-US" w:eastAsia="zh-CN"/>
              </w:rPr>
              <w:t>14</w:t>
            </w:r>
            <w:r>
              <w:rPr>
                <w:rFonts w:hint="default" w:ascii="Times New Roman" w:hAnsi="Times New Roman" w:eastAsia="宋体" w:cs="Times New Roman"/>
                <w:bCs/>
                <w:sz w:val="21"/>
                <w:szCs w:val="21"/>
              </w:rPr>
              <w:t>-20</w:t>
            </w:r>
            <w:r>
              <w:rPr>
                <w:rFonts w:hint="default" w:ascii="Times New Roman" w:hAnsi="Times New Roman" w:eastAsia="宋体" w:cs="Times New Roman"/>
                <w:bCs/>
                <w:sz w:val="21"/>
                <w:szCs w:val="21"/>
                <w:lang w:val="en-US" w:eastAsia="zh-CN"/>
              </w:rPr>
              <w:t>23 附录A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5000" w:type="pct"/>
            <w:gridSpan w:val="4"/>
            <w:vAlign w:val="center"/>
          </w:tcPr>
          <w:p>
            <w:pPr>
              <w:spacing w:line="240" w:lineRule="exact"/>
              <w:jc w:val="left"/>
              <w:rPr>
                <w:rFonts w:hint="default" w:ascii="Times New Roman" w:hAnsi="Times New Roman" w:eastAsia="宋体" w:cs="Times New Roman"/>
                <w:bCs/>
                <w:sz w:val="18"/>
                <w:szCs w:val="18"/>
                <w:lang w:eastAsia="zh-CN"/>
              </w:rPr>
            </w:pPr>
            <w:r>
              <w:rPr>
                <w:rFonts w:hint="default" w:ascii="Times New Roman" w:hAnsi="Times New Roman" w:cs="Times New Roman"/>
                <w:bCs/>
                <w:sz w:val="18"/>
                <w:szCs w:val="18"/>
              </w:rPr>
              <w:t>注：</w:t>
            </w:r>
            <w:r>
              <w:rPr>
                <w:rFonts w:hint="default" w:ascii="Times New Roman" w:hAnsi="Times New Roman" w:cs="Times New Roman"/>
                <w:bCs/>
                <w:sz w:val="18"/>
                <w:szCs w:val="18"/>
                <w:vertAlign w:val="superscript"/>
                <w:lang w:val="en-US" w:eastAsia="zh-CN"/>
              </w:rPr>
              <w:t>a</w:t>
            </w:r>
            <w:r>
              <w:rPr>
                <w:rFonts w:hint="default" w:ascii="Times New Roman" w:hAnsi="Times New Roman" w:cs="Times New Roman"/>
                <w:bCs/>
                <w:sz w:val="18"/>
                <w:szCs w:val="18"/>
                <w:lang w:eastAsia="zh-CN"/>
              </w:rPr>
              <w:t>以油墨干重计。</w:t>
            </w:r>
          </w:p>
        </w:tc>
      </w:tr>
    </w:tbl>
    <w:p>
      <w:pPr>
        <w:adjustRightInd w:val="0"/>
        <w:snapToGrid w:val="0"/>
        <w:spacing w:line="440" w:lineRule="exact"/>
        <w:ind w:firstLine="359" w:firstLineChars="171"/>
        <w:rPr>
          <w:rFonts w:hint="default" w:ascii="Times New Roman" w:hAnsi="Times New Roman" w:cs="Times New Roman"/>
          <w:sz w:val="21"/>
          <w:szCs w:val="21"/>
        </w:rPr>
      </w:pPr>
      <w:r>
        <w:rPr>
          <w:rFonts w:hint="default" w:ascii="Times New Roman" w:hAnsi="Times New Roman" w:cs="Times New Roman"/>
          <w:sz w:val="21"/>
          <w:szCs w:val="21"/>
        </w:rPr>
        <w:t>执行企业标准、团体标准、地方标准的产品，检验项目参照上述内容执行。</w:t>
      </w:r>
    </w:p>
    <w:p>
      <w:pPr>
        <w:adjustRightInd w:val="0"/>
        <w:snapToGrid w:val="0"/>
        <w:spacing w:line="440" w:lineRule="exact"/>
        <w:ind w:firstLine="359" w:firstLineChars="171"/>
        <w:rPr>
          <w:rFonts w:hint="default" w:ascii="Times New Roman" w:hAnsi="Times New Roman" w:cs="Times New Roman"/>
          <w:sz w:val="21"/>
          <w:szCs w:val="21"/>
        </w:rPr>
      </w:pPr>
      <w:r>
        <w:rPr>
          <w:rFonts w:hint="default" w:ascii="Times New Roman" w:hAnsi="Times New Roman" w:cs="Times New Roman"/>
          <w:sz w:val="21"/>
          <w:szCs w:val="21"/>
        </w:rPr>
        <w:t>凡是注日期的文件，其随后所有的修改单（不包括勘误的内容）或修订版不适用于本细则。凡是不注日期的文件，其最新版本适用于本细则。</w:t>
      </w: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3 判定规则</w:t>
      </w:r>
    </w:p>
    <w:p>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3.1依据标准</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default" w:ascii="Times New Roman" w:hAnsi="Times New Roman" w:eastAsia="宋体" w:cs="Times New Roman"/>
          <w:sz w:val="21"/>
          <w:szCs w:val="21"/>
          <w:lang w:eastAsia="zh-CN"/>
        </w:rPr>
      </w:pPr>
      <w:r>
        <w:rPr>
          <w:rFonts w:hint="default" w:ascii="Times New Roman" w:hAnsi="Times New Roman" w:cs="Times New Roman"/>
          <w:sz w:val="21"/>
          <w:szCs w:val="21"/>
        </w:rPr>
        <w:t>GB 4806.14-2023 食品安全国家标准 食品接触材料及制品用油墨</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现行有效的企业标准、团体标准、地方标准及产品明示质量要求</w:t>
      </w:r>
    </w:p>
    <w:p>
      <w:pPr>
        <w:snapToGrid w:val="0"/>
        <w:spacing w:line="440" w:lineRule="exact"/>
        <w:rPr>
          <w:rFonts w:hint="default" w:ascii="Times New Roman" w:hAnsi="Times New Roman" w:eastAsia="仿宋" w:cs="Times New Roman"/>
          <w:b/>
          <w:bCs/>
          <w:color w:val="000000"/>
          <w:szCs w:val="21"/>
        </w:rPr>
      </w:pPr>
      <w:bookmarkStart w:id="0" w:name="_GoBack"/>
      <w:r>
        <w:rPr>
          <w:rFonts w:hint="default" w:ascii="Times New Roman" w:hAnsi="Times New Roman" w:eastAsia="仿宋" w:cs="Times New Roman"/>
          <w:b/>
          <w:bCs/>
          <w:color w:val="000000"/>
          <w:szCs w:val="21"/>
        </w:rPr>
        <w:t>3.2判定原则</w:t>
      </w:r>
    </w:p>
    <w:bookmarkEnd w:id="0"/>
    <w:p>
      <w:pPr>
        <w:snapToGrid w:val="0"/>
        <w:spacing w:line="440" w:lineRule="exact"/>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hint="default" w:ascii="Times New Roman" w:hAnsi="Times New Roman" w:cs="Times New Roman"/>
          <w:sz w:val="21"/>
          <w:szCs w:val="21"/>
        </w:rPr>
      </w:pPr>
      <w:r>
        <w:rPr>
          <w:rFonts w:hint="default" w:ascii="Times New Roman" w:hAnsi="Times New Roman" w:cs="Times New Roman"/>
          <w:sz w:val="21"/>
          <w:szCs w:val="21"/>
        </w:rPr>
        <w:t>若被检产品明示的质量要求高于本细则中检验项目依据的标准要求时，应按被检产品明示的质量要求判定。</w:t>
      </w:r>
    </w:p>
    <w:p>
      <w:pPr>
        <w:snapToGrid w:val="0"/>
        <w:spacing w:line="440" w:lineRule="exact"/>
        <w:ind w:firstLine="417" w:firstLineChars="199"/>
        <w:rPr>
          <w:rFonts w:hint="default" w:ascii="Times New Roman" w:hAnsi="Times New Roman" w:cs="Times New Roman"/>
          <w:sz w:val="21"/>
          <w:szCs w:val="21"/>
        </w:rPr>
      </w:pPr>
      <w:r>
        <w:rPr>
          <w:rFonts w:hint="default" w:ascii="Times New Roman" w:hAnsi="Times New Roman" w:cs="Times New Roman"/>
          <w:sz w:val="21"/>
          <w:szCs w:val="21"/>
        </w:rPr>
        <w:t>若被检产品明示的质量要求低于本细则中检验项目依据的强制性标准要求时，应按照强制性标准要求判定。</w:t>
      </w:r>
    </w:p>
    <w:p>
      <w:pPr>
        <w:snapToGrid w:val="0"/>
        <w:spacing w:line="440" w:lineRule="exact"/>
        <w:ind w:firstLine="417" w:firstLineChars="199"/>
        <w:rPr>
          <w:rFonts w:hint="default" w:ascii="Times New Roman" w:hAnsi="Times New Roman" w:cs="Times New Roman"/>
          <w:sz w:val="21"/>
          <w:szCs w:val="21"/>
        </w:rPr>
      </w:pPr>
      <w:r>
        <w:rPr>
          <w:rFonts w:hint="default" w:ascii="Times New Roman" w:hAnsi="Times New Roman" w:cs="Times New Roman"/>
          <w:sz w:val="21"/>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hint="default" w:ascii="Times New Roman" w:hAnsi="Times New Roman" w:cs="Times New Roman"/>
          <w:sz w:val="21"/>
          <w:szCs w:val="21"/>
        </w:rPr>
      </w:pPr>
      <w:r>
        <w:rPr>
          <w:rFonts w:hint="default" w:ascii="Times New Roman" w:hAnsi="Times New Roman" w:cs="Times New Roman"/>
          <w:sz w:val="21"/>
          <w:szCs w:val="21"/>
        </w:rPr>
        <w:t>若被检产品明示的质量要求缺少本细则中检验项目依据的强制性标准要求时，应按照强制性标准要求判定。</w:t>
      </w:r>
    </w:p>
    <w:p>
      <w:pPr>
        <w:snapToGrid w:val="0"/>
        <w:spacing w:line="440" w:lineRule="exact"/>
        <w:ind w:firstLine="417" w:firstLineChars="199"/>
        <w:rPr>
          <w:rFonts w:hint="default" w:ascii="Times New Roman" w:hAnsi="Times New Roman" w:cs="Times New Roman"/>
          <w:sz w:val="21"/>
          <w:szCs w:val="21"/>
        </w:rPr>
      </w:pPr>
      <w:r>
        <w:rPr>
          <w:rFonts w:hint="default" w:ascii="Times New Roman" w:hAnsi="Times New Roman" w:cs="Times New Roman"/>
          <w:sz w:val="21"/>
          <w:szCs w:val="21"/>
        </w:rPr>
        <w:t>若被检产品明示的质量要求缺少本细则中检验项目依据的推荐性标准要求时，该项目不参与判定。</w:t>
      </w:r>
    </w:p>
    <w:p>
      <w:pPr>
        <w:snapToGrid w:val="0"/>
        <w:spacing w:line="440" w:lineRule="exact"/>
        <w:ind w:firstLine="417" w:firstLineChars="199"/>
        <w:rPr>
          <w:rFonts w:hint="default" w:ascii="Times New Roman" w:hAnsi="Times New Roman" w:cs="Times New Roman"/>
          <w:sz w:val="21"/>
          <w:szCs w:val="21"/>
        </w:rPr>
      </w:pPr>
    </w:p>
    <w:sectPr>
      <w:footerReference r:id="rId4" w:type="first"/>
      <w:footerReference r:id="rId3" w:type="default"/>
      <w:pgSz w:w="11906" w:h="16838"/>
      <w:pgMar w:top="1440" w:right="1803" w:bottom="1440" w:left="1803" w:header="851" w:footer="1191"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方正书宋_GBK"/>
    <w:panose1 w:val="02010600030101010101"/>
    <w:charset w:val="0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3"/>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Wingdings 3">
    <w:panose1 w:val="050401020108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cs="Calibri"/>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60325" cy="154940"/>
              <wp:effectExtent l="0" t="0" r="0" b="0"/>
              <wp:wrapNone/>
              <wp:docPr id="1482100446" name="文本框 1"/>
              <wp:cNvGraphicFramePr/>
              <a:graphic xmlns:a="http://schemas.openxmlformats.org/drawingml/2006/main">
                <a:graphicData uri="http://schemas.microsoft.com/office/word/2010/wordprocessingShape">
                  <wps:wsp>
                    <wps:cNvSpPr txBox="true">
                      <a:spLocks noChangeArrowheads="true"/>
                    </wps:cNvSpPr>
                    <wps:spPr bwMode="auto">
                      <a:xfrm>
                        <a:off x="0" y="0"/>
                        <a:ext cx="60325" cy="154940"/>
                      </a:xfrm>
                      <a:prstGeom prst="rect">
                        <a:avLst/>
                      </a:prstGeom>
                      <a:noFill/>
                      <a:ln>
                        <a:noFill/>
                      </a:ln>
                    </wps:spPr>
                    <wps:txbx>
                      <w:txbxContent>
                        <w:p>
                          <w:pPr>
                            <w:pStyle w:val="5"/>
                            <w:rPr>
                              <w:rFonts w:eastAsia="宋体" w:cs="Calibri"/>
                            </w:rPr>
                          </w:pPr>
                          <w:r>
                            <w:fldChar w:fldCharType="begin"/>
                          </w:r>
                          <w:r>
                            <w:instrText xml:space="preserve"> PAGE  \* MERGEFORMAT </w:instrText>
                          </w:r>
                          <w:r>
                            <w:fldChar w:fldCharType="separate"/>
                          </w:r>
                          <w:r>
                            <w:rPr>
                              <w:lang w:val="en-US" w:eastAsia="zh-CN"/>
                            </w:rPr>
                            <w:t>3</w:t>
                          </w:r>
                          <w:r>
                            <w:fldChar w:fldCharType="end"/>
                          </w:r>
                        </w:p>
                      </w:txbxContent>
                    </wps:txbx>
                    <wps:bodyPr rot="0" vert="horz" wrap="none" lIns="0" tIns="0" rIns="0" bIns="0" anchor="t" anchorCtr="false" upright="true">
                      <a:spAutoFit/>
                    </wps:bodyPr>
                  </wps:wsp>
                </a:graphicData>
              </a:graphic>
            </wp:anchor>
          </w:drawing>
        </mc:Choice>
        <mc:Fallback>
          <w:pict>
            <v:shape id="文本框 1" o:spid="_x0000_s1026" o:spt="202" type="#_x0000_t202" style="position:absolute;left:0pt;margin-top:0pt;height:12.2pt;width:4.75pt;mso-position-horizontal:center;mso-position-horizontal-relative:margin;mso-wrap-style:none;z-index:251660288;mso-width-relative:page;mso-height-relative:page;" filled="f" stroked="f" coordsize="21600,21600" o:gfxdata="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FgAAAGRycy9QSwECFAAUAAAACACHTuJAeo0nyNEAAAACAQAADwAAAAAAAAABACAA&#10;AAA4AAAAZHJzL2Rvd25yZXYueG1sUEsBAhQAFAAAAAgAh07iQOB0n8L+AQAAyQMAAA4AAAAAAAAA&#10;AQAgAAAANgEAAGRycy9lMm9Eb2MueG1sUEsFBgAAAAAGAAYAWQEAAKYFAAAAAA==&#10;">
              <v:fill on="f" focussize="0,0"/>
              <v:stroke on="f"/>
              <v:imagedata o:title=""/>
              <o:lock v:ext="edit" aspectratio="f"/>
              <v:textbox inset="0mm,0mm,0mm,0mm" style="mso-fit-shape-to-text:t;">
                <w:txbxContent>
                  <w:p>
                    <w:pPr>
                      <w:pStyle w:val="5"/>
                      <w:rPr>
                        <w:rFonts w:eastAsia="宋体" w:cs="Calibri"/>
                      </w:rPr>
                    </w:pPr>
                    <w:r>
                      <w:fldChar w:fldCharType="begin"/>
                    </w:r>
                    <w:r>
                      <w:instrText xml:space="preserve"> PAGE  \* MERGEFORMAT </w:instrText>
                    </w:r>
                    <w:r>
                      <w:fldChar w:fldCharType="separate"/>
                    </w:r>
                    <w:r>
                      <w:rPr>
                        <w:lang w:val="en-US" w:eastAsia="zh-CN"/>
                      </w:rP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cs="Calibri"/>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60325" cy="154940"/>
              <wp:effectExtent l="0" t="0" r="0" b="0"/>
              <wp:wrapNone/>
              <wp:docPr id="1706203602" name="文本框 2"/>
              <wp:cNvGraphicFramePr/>
              <a:graphic xmlns:a="http://schemas.openxmlformats.org/drawingml/2006/main">
                <a:graphicData uri="http://schemas.microsoft.com/office/word/2010/wordprocessingShape">
                  <wps:wsp>
                    <wps:cNvSpPr txBox="true">
                      <a:spLocks noChangeArrowheads="true"/>
                    </wps:cNvSpPr>
                    <wps:spPr bwMode="auto">
                      <a:xfrm>
                        <a:off x="0" y="0"/>
                        <a:ext cx="60325" cy="154940"/>
                      </a:xfrm>
                      <a:prstGeom prst="rect">
                        <a:avLst/>
                      </a:prstGeom>
                      <a:noFill/>
                      <a:ln>
                        <a:noFill/>
                      </a:ln>
                    </wps:spPr>
                    <wps:txbx>
                      <w:txbxContent>
                        <w:p>
                          <w:pPr>
                            <w:pStyle w:val="5"/>
                            <w:rPr>
                              <w:rFonts w:eastAsia="宋体" w:cs="Calibri"/>
                            </w:rPr>
                          </w:pPr>
                          <w:r>
                            <w:fldChar w:fldCharType="begin"/>
                          </w:r>
                          <w:r>
                            <w:instrText xml:space="preserve"> PAGE  \* MERGEFORMAT </w:instrText>
                          </w:r>
                          <w:r>
                            <w:fldChar w:fldCharType="separate"/>
                          </w:r>
                          <w:r>
                            <w:rPr>
                              <w:lang w:val="en-US" w:eastAsia="zh-CN"/>
                            </w:rPr>
                            <w:t>1</w:t>
                          </w:r>
                          <w:r>
                            <w:fldChar w:fldCharType="end"/>
                          </w:r>
                        </w:p>
                      </w:txbxContent>
                    </wps:txbx>
                    <wps:bodyPr rot="0" vert="horz" wrap="none" lIns="0" tIns="0" rIns="0" bIns="0" anchor="t" anchorCtr="false" upright="true">
                      <a:spAutoFit/>
                    </wps:bodyPr>
                  </wps:wsp>
                </a:graphicData>
              </a:graphic>
            </wp:anchor>
          </w:drawing>
        </mc:Choice>
        <mc:Fallback>
          <w:pict>
            <v:shape id="文本框 2" o:spid="_x0000_s1026" o:spt="202" type="#_x0000_t202" style="position:absolute;left:0pt;margin-top:0pt;height:12.2pt;width:4.75pt;mso-position-horizontal:center;mso-position-horizontal-relative:margin;mso-wrap-style:none;z-index:251659264;mso-width-relative:page;mso-height-relative:page;" filled="f" stroked="f" coordsize="21600,21600" o:gfxdata="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WAAAAZHJzL1BLAQIUABQAAAAIAIdO4kB6jSfI0QAAAAIBAAAPAAAAAAAAAAEAIAAA&#10;ADgAAABkcnMvZG93bnJldi54bWxQSwECFAAUAAAACACHTuJAlOypGP0BAADJAwAADgAAAAAAAAAB&#10;ACAAAAA2AQAAZHJzL2Uyb0RvYy54bWxQSwUGAAAAAAYABgBZAQAApQUAAAAA&#10;">
              <v:fill on="f" focussize="0,0"/>
              <v:stroke on="f"/>
              <v:imagedata o:title=""/>
              <o:lock v:ext="edit" aspectratio="f"/>
              <v:textbox inset="0mm,0mm,0mm,0mm" style="mso-fit-shape-to-text:t;">
                <w:txbxContent>
                  <w:p>
                    <w:pPr>
                      <w:pStyle w:val="5"/>
                      <w:rPr>
                        <w:rFonts w:eastAsia="宋体" w:cs="Calibri"/>
                      </w:rPr>
                    </w:pPr>
                    <w:r>
                      <w:fldChar w:fldCharType="begin"/>
                    </w:r>
                    <w:r>
                      <w:instrText xml:space="preserve"> PAGE  \* MERGEFORMAT </w:instrText>
                    </w:r>
                    <w:r>
                      <w:fldChar w:fldCharType="separate"/>
                    </w:r>
                    <w:r>
                      <w:rPr>
                        <w:lang w:val="en-US" w:eastAsia="zh-CN"/>
                      </w:rP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true"/>
  <w:bordersDoNotSurroundFooter w:val="true"/>
  <w:documentProtection w:enforcement="0"/>
  <w:defaultTabStop w:val="420"/>
  <w:doNotHyphenateCaps/>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VhYTExOTI3ZGJhYmUxZWY5OTFjNzM4MDYyZGIyZDUifQ=="/>
  </w:docVars>
  <w:rsids>
    <w:rsidRoot w:val="00D5405B"/>
    <w:rsid w:val="000072CC"/>
    <w:rsid w:val="0001286A"/>
    <w:rsid w:val="000171C0"/>
    <w:rsid w:val="0002043B"/>
    <w:rsid w:val="00025AE4"/>
    <w:rsid w:val="00025CA6"/>
    <w:rsid w:val="00026506"/>
    <w:rsid w:val="00026B17"/>
    <w:rsid w:val="00030F7C"/>
    <w:rsid w:val="00053863"/>
    <w:rsid w:val="00055CBF"/>
    <w:rsid w:val="00060F67"/>
    <w:rsid w:val="00066069"/>
    <w:rsid w:val="00076350"/>
    <w:rsid w:val="000772DD"/>
    <w:rsid w:val="00077400"/>
    <w:rsid w:val="00077990"/>
    <w:rsid w:val="00082D47"/>
    <w:rsid w:val="00083BA4"/>
    <w:rsid w:val="00085E36"/>
    <w:rsid w:val="00095A97"/>
    <w:rsid w:val="000A2F7A"/>
    <w:rsid w:val="000A3CAE"/>
    <w:rsid w:val="000A5587"/>
    <w:rsid w:val="000B1797"/>
    <w:rsid w:val="000B6E51"/>
    <w:rsid w:val="000C2772"/>
    <w:rsid w:val="000D66CD"/>
    <w:rsid w:val="000D69C5"/>
    <w:rsid w:val="000E1A0E"/>
    <w:rsid w:val="000F5A98"/>
    <w:rsid w:val="0010260B"/>
    <w:rsid w:val="00103172"/>
    <w:rsid w:val="00116680"/>
    <w:rsid w:val="00116785"/>
    <w:rsid w:val="0011788A"/>
    <w:rsid w:val="001233E8"/>
    <w:rsid w:val="001263E2"/>
    <w:rsid w:val="00126F7D"/>
    <w:rsid w:val="0012758A"/>
    <w:rsid w:val="00133864"/>
    <w:rsid w:val="00133CF7"/>
    <w:rsid w:val="00146044"/>
    <w:rsid w:val="0015082A"/>
    <w:rsid w:val="00152247"/>
    <w:rsid w:val="00156FFE"/>
    <w:rsid w:val="00166831"/>
    <w:rsid w:val="00171EEA"/>
    <w:rsid w:val="00172551"/>
    <w:rsid w:val="001750B5"/>
    <w:rsid w:val="0018595F"/>
    <w:rsid w:val="00193CBC"/>
    <w:rsid w:val="001A2B92"/>
    <w:rsid w:val="001B54E5"/>
    <w:rsid w:val="001B5B00"/>
    <w:rsid w:val="001C34B9"/>
    <w:rsid w:val="001C45A3"/>
    <w:rsid w:val="001C52E2"/>
    <w:rsid w:val="001D13D3"/>
    <w:rsid w:val="001E66E7"/>
    <w:rsid w:val="001F3B71"/>
    <w:rsid w:val="001F4A22"/>
    <w:rsid w:val="00203549"/>
    <w:rsid w:val="002056DC"/>
    <w:rsid w:val="002217E1"/>
    <w:rsid w:val="00245EF2"/>
    <w:rsid w:val="00274740"/>
    <w:rsid w:val="00281373"/>
    <w:rsid w:val="002856F3"/>
    <w:rsid w:val="002A5AFB"/>
    <w:rsid w:val="002B2DBA"/>
    <w:rsid w:val="002B31EB"/>
    <w:rsid w:val="002C1F17"/>
    <w:rsid w:val="002C2A99"/>
    <w:rsid w:val="002D05EB"/>
    <w:rsid w:val="002D73B3"/>
    <w:rsid w:val="002D7FE6"/>
    <w:rsid w:val="002E3F7F"/>
    <w:rsid w:val="002F7E59"/>
    <w:rsid w:val="00303414"/>
    <w:rsid w:val="00312ECE"/>
    <w:rsid w:val="003160F2"/>
    <w:rsid w:val="00321205"/>
    <w:rsid w:val="00326242"/>
    <w:rsid w:val="0034396F"/>
    <w:rsid w:val="00354BC3"/>
    <w:rsid w:val="00360295"/>
    <w:rsid w:val="00361795"/>
    <w:rsid w:val="00363AD5"/>
    <w:rsid w:val="00372899"/>
    <w:rsid w:val="0037572D"/>
    <w:rsid w:val="00383201"/>
    <w:rsid w:val="00390105"/>
    <w:rsid w:val="003A201B"/>
    <w:rsid w:val="003A36C6"/>
    <w:rsid w:val="003B5800"/>
    <w:rsid w:val="003E2063"/>
    <w:rsid w:val="003E6A32"/>
    <w:rsid w:val="004031D7"/>
    <w:rsid w:val="004039C9"/>
    <w:rsid w:val="00403E87"/>
    <w:rsid w:val="00425172"/>
    <w:rsid w:val="00425403"/>
    <w:rsid w:val="004375FD"/>
    <w:rsid w:val="00437974"/>
    <w:rsid w:val="004465D6"/>
    <w:rsid w:val="00453130"/>
    <w:rsid w:val="00462456"/>
    <w:rsid w:val="00463FAE"/>
    <w:rsid w:val="00463FC1"/>
    <w:rsid w:val="00481EAB"/>
    <w:rsid w:val="00487378"/>
    <w:rsid w:val="00493C6E"/>
    <w:rsid w:val="004A7140"/>
    <w:rsid w:val="004A75EE"/>
    <w:rsid w:val="004B1F51"/>
    <w:rsid w:val="004B5F9D"/>
    <w:rsid w:val="004D5D4E"/>
    <w:rsid w:val="004E5C4C"/>
    <w:rsid w:val="004E7AB4"/>
    <w:rsid w:val="004F0585"/>
    <w:rsid w:val="004F1A7A"/>
    <w:rsid w:val="0050716C"/>
    <w:rsid w:val="00510E23"/>
    <w:rsid w:val="00513EC4"/>
    <w:rsid w:val="005338CF"/>
    <w:rsid w:val="0054021E"/>
    <w:rsid w:val="00540922"/>
    <w:rsid w:val="0054269A"/>
    <w:rsid w:val="00546122"/>
    <w:rsid w:val="0057124C"/>
    <w:rsid w:val="0059024C"/>
    <w:rsid w:val="005B048C"/>
    <w:rsid w:val="005B55D2"/>
    <w:rsid w:val="005C6AFD"/>
    <w:rsid w:val="005C7001"/>
    <w:rsid w:val="006073DB"/>
    <w:rsid w:val="00617A0B"/>
    <w:rsid w:val="00626741"/>
    <w:rsid w:val="00637112"/>
    <w:rsid w:val="00642B48"/>
    <w:rsid w:val="0064413B"/>
    <w:rsid w:val="00646F8C"/>
    <w:rsid w:val="00647A4F"/>
    <w:rsid w:val="00647B3E"/>
    <w:rsid w:val="00647F58"/>
    <w:rsid w:val="006527CA"/>
    <w:rsid w:val="00652CBC"/>
    <w:rsid w:val="0065482F"/>
    <w:rsid w:val="006568FC"/>
    <w:rsid w:val="00660B4B"/>
    <w:rsid w:val="00661D48"/>
    <w:rsid w:val="006634C5"/>
    <w:rsid w:val="0067112E"/>
    <w:rsid w:val="00671BB8"/>
    <w:rsid w:val="006771F5"/>
    <w:rsid w:val="00681F38"/>
    <w:rsid w:val="00684DFA"/>
    <w:rsid w:val="006860ED"/>
    <w:rsid w:val="00690A51"/>
    <w:rsid w:val="006A37FB"/>
    <w:rsid w:val="006A3BCD"/>
    <w:rsid w:val="006A4825"/>
    <w:rsid w:val="006A675B"/>
    <w:rsid w:val="006B43E9"/>
    <w:rsid w:val="006B5491"/>
    <w:rsid w:val="006C1876"/>
    <w:rsid w:val="006C1C83"/>
    <w:rsid w:val="006C3505"/>
    <w:rsid w:val="006D1BD5"/>
    <w:rsid w:val="006D73F4"/>
    <w:rsid w:val="006E0C0B"/>
    <w:rsid w:val="006E44C7"/>
    <w:rsid w:val="00704466"/>
    <w:rsid w:val="00704C63"/>
    <w:rsid w:val="00713B4A"/>
    <w:rsid w:val="0071472A"/>
    <w:rsid w:val="00720B0B"/>
    <w:rsid w:val="00740DCA"/>
    <w:rsid w:val="00756DC0"/>
    <w:rsid w:val="0076250A"/>
    <w:rsid w:val="007A6ABF"/>
    <w:rsid w:val="007B11EF"/>
    <w:rsid w:val="007B4063"/>
    <w:rsid w:val="007B7635"/>
    <w:rsid w:val="007C56E7"/>
    <w:rsid w:val="007C6536"/>
    <w:rsid w:val="007D536A"/>
    <w:rsid w:val="007D7EC0"/>
    <w:rsid w:val="007E2C65"/>
    <w:rsid w:val="007F0196"/>
    <w:rsid w:val="007F64AD"/>
    <w:rsid w:val="007F675C"/>
    <w:rsid w:val="00813061"/>
    <w:rsid w:val="00817598"/>
    <w:rsid w:val="00823CAF"/>
    <w:rsid w:val="008250EA"/>
    <w:rsid w:val="0084180E"/>
    <w:rsid w:val="00842A87"/>
    <w:rsid w:val="00850761"/>
    <w:rsid w:val="00852697"/>
    <w:rsid w:val="00856BE3"/>
    <w:rsid w:val="0085783B"/>
    <w:rsid w:val="0086438D"/>
    <w:rsid w:val="00865DB7"/>
    <w:rsid w:val="008700CA"/>
    <w:rsid w:val="00871868"/>
    <w:rsid w:val="00871D2E"/>
    <w:rsid w:val="0087456B"/>
    <w:rsid w:val="008750E0"/>
    <w:rsid w:val="0088051E"/>
    <w:rsid w:val="00881153"/>
    <w:rsid w:val="008846B4"/>
    <w:rsid w:val="008918B9"/>
    <w:rsid w:val="00894707"/>
    <w:rsid w:val="00897921"/>
    <w:rsid w:val="008A7FDD"/>
    <w:rsid w:val="008B1D46"/>
    <w:rsid w:val="008C29DE"/>
    <w:rsid w:val="008C2AB8"/>
    <w:rsid w:val="008C3204"/>
    <w:rsid w:val="008C4849"/>
    <w:rsid w:val="008C65DC"/>
    <w:rsid w:val="008D0DE0"/>
    <w:rsid w:val="008D4A2F"/>
    <w:rsid w:val="008D6902"/>
    <w:rsid w:val="008F0C2B"/>
    <w:rsid w:val="008F6B06"/>
    <w:rsid w:val="0090548F"/>
    <w:rsid w:val="00905937"/>
    <w:rsid w:val="0091077B"/>
    <w:rsid w:val="00932D7B"/>
    <w:rsid w:val="009343C4"/>
    <w:rsid w:val="009459A7"/>
    <w:rsid w:val="00950285"/>
    <w:rsid w:val="00952820"/>
    <w:rsid w:val="009552B0"/>
    <w:rsid w:val="00963C41"/>
    <w:rsid w:val="00965DA1"/>
    <w:rsid w:val="00971A5E"/>
    <w:rsid w:val="0098564E"/>
    <w:rsid w:val="009B5A56"/>
    <w:rsid w:val="009C58A2"/>
    <w:rsid w:val="009D0EEB"/>
    <w:rsid w:val="009D1E46"/>
    <w:rsid w:val="009D6100"/>
    <w:rsid w:val="009F2F59"/>
    <w:rsid w:val="009F3497"/>
    <w:rsid w:val="00A00835"/>
    <w:rsid w:val="00A02F9C"/>
    <w:rsid w:val="00A108D1"/>
    <w:rsid w:val="00A12277"/>
    <w:rsid w:val="00A21EBC"/>
    <w:rsid w:val="00A472CA"/>
    <w:rsid w:val="00A510DF"/>
    <w:rsid w:val="00A5360F"/>
    <w:rsid w:val="00A55EE0"/>
    <w:rsid w:val="00A72DF9"/>
    <w:rsid w:val="00A87B03"/>
    <w:rsid w:val="00A92DBB"/>
    <w:rsid w:val="00A93E86"/>
    <w:rsid w:val="00AA4D2B"/>
    <w:rsid w:val="00AD207F"/>
    <w:rsid w:val="00AD214F"/>
    <w:rsid w:val="00AD519B"/>
    <w:rsid w:val="00AE2BAD"/>
    <w:rsid w:val="00AE44AD"/>
    <w:rsid w:val="00AE44CF"/>
    <w:rsid w:val="00AE45F8"/>
    <w:rsid w:val="00AE5DF7"/>
    <w:rsid w:val="00AF26C8"/>
    <w:rsid w:val="00AF53A0"/>
    <w:rsid w:val="00AF7FD3"/>
    <w:rsid w:val="00B02990"/>
    <w:rsid w:val="00B045D2"/>
    <w:rsid w:val="00B11F99"/>
    <w:rsid w:val="00B138C5"/>
    <w:rsid w:val="00B23BC1"/>
    <w:rsid w:val="00B24EDD"/>
    <w:rsid w:val="00B36F66"/>
    <w:rsid w:val="00B47B99"/>
    <w:rsid w:val="00B54A71"/>
    <w:rsid w:val="00B57C43"/>
    <w:rsid w:val="00B6740F"/>
    <w:rsid w:val="00B6788A"/>
    <w:rsid w:val="00B70A1A"/>
    <w:rsid w:val="00B819AE"/>
    <w:rsid w:val="00B85F04"/>
    <w:rsid w:val="00B919C3"/>
    <w:rsid w:val="00B949CB"/>
    <w:rsid w:val="00BB2252"/>
    <w:rsid w:val="00BB35FA"/>
    <w:rsid w:val="00BB6923"/>
    <w:rsid w:val="00BB6D65"/>
    <w:rsid w:val="00BC2F8E"/>
    <w:rsid w:val="00BC5EAA"/>
    <w:rsid w:val="00BC666B"/>
    <w:rsid w:val="00BD14F0"/>
    <w:rsid w:val="00BE2A30"/>
    <w:rsid w:val="00BE3940"/>
    <w:rsid w:val="00BF7F7D"/>
    <w:rsid w:val="00C10139"/>
    <w:rsid w:val="00C35A59"/>
    <w:rsid w:val="00C40F57"/>
    <w:rsid w:val="00C45860"/>
    <w:rsid w:val="00C4618E"/>
    <w:rsid w:val="00C46ED4"/>
    <w:rsid w:val="00C5059E"/>
    <w:rsid w:val="00C525DC"/>
    <w:rsid w:val="00C56DEB"/>
    <w:rsid w:val="00C57846"/>
    <w:rsid w:val="00C63048"/>
    <w:rsid w:val="00C70A29"/>
    <w:rsid w:val="00C72BE6"/>
    <w:rsid w:val="00C80701"/>
    <w:rsid w:val="00C814AB"/>
    <w:rsid w:val="00C820A1"/>
    <w:rsid w:val="00C84D1B"/>
    <w:rsid w:val="00C92AB0"/>
    <w:rsid w:val="00CA7DD9"/>
    <w:rsid w:val="00CB2060"/>
    <w:rsid w:val="00CB65B2"/>
    <w:rsid w:val="00CB6D4F"/>
    <w:rsid w:val="00CC5986"/>
    <w:rsid w:val="00CC797E"/>
    <w:rsid w:val="00CE149D"/>
    <w:rsid w:val="00CE67F6"/>
    <w:rsid w:val="00CE754F"/>
    <w:rsid w:val="00D05DF5"/>
    <w:rsid w:val="00D109EA"/>
    <w:rsid w:val="00D15882"/>
    <w:rsid w:val="00D16E10"/>
    <w:rsid w:val="00D2003B"/>
    <w:rsid w:val="00D5405B"/>
    <w:rsid w:val="00D547FC"/>
    <w:rsid w:val="00D6052D"/>
    <w:rsid w:val="00D70122"/>
    <w:rsid w:val="00D7030D"/>
    <w:rsid w:val="00D7679F"/>
    <w:rsid w:val="00D80E58"/>
    <w:rsid w:val="00D81925"/>
    <w:rsid w:val="00D8512B"/>
    <w:rsid w:val="00D91AF5"/>
    <w:rsid w:val="00D91C44"/>
    <w:rsid w:val="00DB056C"/>
    <w:rsid w:val="00DB0AF4"/>
    <w:rsid w:val="00DB4BF7"/>
    <w:rsid w:val="00DD3A0F"/>
    <w:rsid w:val="00DD3EDA"/>
    <w:rsid w:val="00DE3139"/>
    <w:rsid w:val="00DE50BD"/>
    <w:rsid w:val="00DE6FA0"/>
    <w:rsid w:val="00E13661"/>
    <w:rsid w:val="00E15957"/>
    <w:rsid w:val="00E16030"/>
    <w:rsid w:val="00E20730"/>
    <w:rsid w:val="00E21DE6"/>
    <w:rsid w:val="00E376C3"/>
    <w:rsid w:val="00E40633"/>
    <w:rsid w:val="00E52893"/>
    <w:rsid w:val="00E65D5B"/>
    <w:rsid w:val="00E67210"/>
    <w:rsid w:val="00E70EB9"/>
    <w:rsid w:val="00E72DAD"/>
    <w:rsid w:val="00E86130"/>
    <w:rsid w:val="00E9520D"/>
    <w:rsid w:val="00EA3055"/>
    <w:rsid w:val="00EA330E"/>
    <w:rsid w:val="00EB3FC5"/>
    <w:rsid w:val="00EC13D8"/>
    <w:rsid w:val="00EC41A3"/>
    <w:rsid w:val="00ED5B30"/>
    <w:rsid w:val="00EE5CAD"/>
    <w:rsid w:val="00EF0338"/>
    <w:rsid w:val="00EF0F94"/>
    <w:rsid w:val="00EF2C5F"/>
    <w:rsid w:val="00EF2ED5"/>
    <w:rsid w:val="00EF4A02"/>
    <w:rsid w:val="00F06D6F"/>
    <w:rsid w:val="00F173F5"/>
    <w:rsid w:val="00F30E64"/>
    <w:rsid w:val="00F346CB"/>
    <w:rsid w:val="00F37CDF"/>
    <w:rsid w:val="00F40B52"/>
    <w:rsid w:val="00F440C6"/>
    <w:rsid w:val="00F50DA1"/>
    <w:rsid w:val="00F544C7"/>
    <w:rsid w:val="00F60BEE"/>
    <w:rsid w:val="00F61911"/>
    <w:rsid w:val="00F653C4"/>
    <w:rsid w:val="00F776C2"/>
    <w:rsid w:val="00F85F57"/>
    <w:rsid w:val="00F860B3"/>
    <w:rsid w:val="00F95A19"/>
    <w:rsid w:val="00F97125"/>
    <w:rsid w:val="00FA2A02"/>
    <w:rsid w:val="00FA37B4"/>
    <w:rsid w:val="00FA54F5"/>
    <w:rsid w:val="00FA778F"/>
    <w:rsid w:val="00FB22D5"/>
    <w:rsid w:val="00FC1F9B"/>
    <w:rsid w:val="00FC5FE3"/>
    <w:rsid w:val="00FD05A8"/>
    <w:rsid w:val="00FD6FEF"/>
    <w:rsid w:val="00FD749D"/>
    <w:rsid w:val="00FE2DE6"/>
    <w:rsid w:val="00FE3106"/>
    <w:rsid w:val="00FE440A"/>
    <w:rsid w:val="00FF67B1"/>
    <w:rsid w:val="00FF6EA3"/>
    <w:rsid w:val="012843A7"/>
    <w:rsid w:val="013C4452"/>
    <w:rsid w:val="04304177"/>
    <w:rsid w:val="0A0707D1"/>
    <w:rsid w:val="12E912B0"/>
    <w:rsid w:val="17E4768B"/>
    <w:rsid w:val="1AF92F65"/>
    <w:rsid w:val="1CCF0A4E"/>
    <w:rsid w:val="1CE860D9"/>
    <w:rsid w:val="1DFC3AB9"/>
    <w:rsid w:val="22871434"/>
    <w:rsid w:val="22B50492"/>
    <w:rsid w:val="24174969"/>
    <w:rsid w:val="26475535"/>
    <w:rsid w:val="277F0F9A"/>
    <w:rsid w:val="285C6DCA"/>
    <w:rsid w:val="2A2E52DB"/>
    <w:rsid w:val="2DDB08B8"/>
    <w:rsid w:val="2E2F49AB"/>
    <w:rsid w:val="2E754543"/>
    <w:rsid w:val="2EB77514"/>
    <w:rsid w:val="2FBD2202"/>
    <w:rsid w:val="33B44FB3"/>
    <w:rsid w:val="3CAC1730"/>
    <w:rsid w:val="3CE12EB8"/>
    <w:rsid w:val="3DB64099"/>
    <w:rsid w:val="3DE24FE8"/>
    <w:rsid w:val="3E5B269C"/>
    <w:rsid w:val="3E804495"/>
    <w:rsid w:val="40D2476E"/>
    <w:rsid w:val="413E4C52"/>
    <w:rsid w:val="47154AA7"/>
    <w:rsid w:val="48121517"/>
    <w:rsid w:val="48570B6C"/>
    <w:rsid w:val="4EE71B56"/>
    <w:rsid w:val="504307F1"/>
    <w:rsid w:val="5192021D"/>
    <w:rsid w:val="52E133DE"/>
    <w:rsid w:val="53901ECC"/>
    <w:rsid w:val="552F286A"/>
    <w:rsid w:val="55327046"/>
    <w:rsid w:val="553F29E3"/>
    <w:rsid w:val="57041A0F"/>
    <w:rsid w:val="573F7409"/>
    <w:rsid w:val="59D9671C"/>
    <w:rsid w:val="62475312"/>
    <w:rsid w:val="6B9426A9"/>
    <w:rsid w:val="6BC42A4A"/>
    <w:rsid w:val="6BF221DD"/>
    <w:rsid w:val="6E2C7E5B"/>
    <w:rsid w:val="6E804580"/>
    <w:rsid w:val="6E81035E"/>
    <w:rsid w:val="6EBC53D5"/>
    <w:rsid w:val="6F8A3B25"/>
    <w:rsid w:val="6F983C2B"/>
    <w:rsid w:val="71646B09"/>
    <w:rsid w:val="71EE1F39"/>
    <w:rsid w:val="77527B51"/>
    <w:rsid w:val="7A5344B1"/>
    <w:rsid w:val="7B5A2BED"/>
    <w:rsid w:val="7BE44BA9"/>
    <w:rsid w:val="7CAC402C"/>
    <w:rsid w:val="7D0A368B"/>
    <w:rsid w:val="7D8D3D7E"/>
    <w:rsid w:val="7E7C27FD"/>
    <w:rsid w:val="7E9A5CD6"/>
    <w:rsid w:val="7FF871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9">
    <w:name w:val="Default Paragraph Font"/>
    <w:semiHidden/>
    <w:qFormat/>
    <w:uiPriority w:val="99"/>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annotation text"/>
    <w:basedOn w:val="1"/>
    <w:link w:val="10"/>
    <w:semiHidden/>
    <w:qFormat/>
    <w:uiPriority w:val="99"/>
    <w:pPr>
      <w:jc w:val="left"/>
    </w:pPr>
    <w:rPr>
      <w:rFonts w:cs="Times New Roman"/>
      <w:kern w:val="0"/>
    </w:rPr>
  </w:style>
  <w:style w:type="paragraph" w:styleId="3">
    <w:name w:val="Body Text Indent"/>
    <w:basedOn w:val="1"/>
    <w:next w:val="1"/>
    <w:unhideWhenUsed/>
    <w:qFormat/>
    <w:uiPriority w:val="99"/>
    <w:pPr>
      <w:spacing w:after="120"/>
      <w:ind w:left="420" w:leftChars="200"/>
    </w:pPr>
    <w:rPr>
      <w:rFonts w:ascii="Calibri" w:hAnsi="Calibri"/>
    </w:rPr>
  </w:style>
  <w:style w:type="paragraph" w:styleId="4">
    <w:name w:val="Balloon Text"/>
    <w:basedOn w:val="1"/>
    <w:link w:val="11"/>
    <w:semiHidden/>
    <w:qFormat/>
    <w:uiPriority w:val="99"/>
    <w:rPr>
      <w:rFonts w:cs="Times New Roman"/>
      <w:sz w:val="18"/>
      <w:szCs w:val="18"/>
    </w:rPr>
  </w:style>
  <w:style w:type="paragraph" w:styleId="5">
    <w:name w:val="footer"/>
    <w:basedOn w:val="1"/>
    <w:link w:val="12"/>
    <w:qFormat/>
    <w:uiPriority w:val="99"/>
    <w:pPr>
      <w:tabs>
        <w:tab w:val="center" w:pos="4153"/>
        <w:tab w:val="right" w:pos="8306"/>
      </w:tabs>
      <w:snapToGrid w:val="0"/>
      <w:jc w:val="left"/>
    </w:pPr>
    <w:rPr>
      <w:rFonts w:ascii="等线" w:hAnsi="等线" w:eastAsia="等线" w:cs="Times New Roman"/>
      <w:kern w:val="0"/>
      <w:sz w:val="18"/>
      <w:szCs w:val="18"/>
    </w:rPr>
  </w:style>
  <w:style w:type="paragraph" w:styleId="6">
    <w:name w:val="header"/>
    <w:basedOn w:val="1"/>
    <w:link w:val="13"/>
    <w:qFormat/>
    <w:uiPriority w:val="99"/>
    <w:pPr>
      <w:pBdr>
        <w:bottom w:val="single" w:color="auto" w:sz="6" w:space="1"/>
      </w:pBdr>
      <w:tabs>
        <w:tab w:val="center" w:pos="4153"/>
        <w:tab w:val="right" w:pos="8306"/>
      </w:tabs>
      <w:snapToGrid w:val="0"/>
      <w:jc w:val="center"/>
    </w:pPr>
    <w:rPr>
      <w:rFonts w:ascii="等线" w:hAnsi="等线" w:eastAsia="等线" w:cs="Times New Roman"/>
      <w:kern w:val="0"/>
      <w:sz w:val="18"/>
      <w:szCs w:val="18"/>
    </w:rPr>
  </w:style>
  <w:style w:type="paragraph" w:styleId="7">
    <w:name w:val="Body Text First Indent 2"/>
    <w:basedOn w:val="3"/>
    <w:qFormat/>
    <w:uiPriority w:val="99"/>
    <w:pPr>
      <w:ind w:firstLine="420" w:firstLineChars="200"/>
    </w:pPr>
  </w:style>
  <w:style w:type="character" w:customStyle="1" w:styleId="10">
    <w:name w:val="批注文字 字符"/>
    <w:link w:val="2"/>
    <w:semiHidden/>
    <w:qFormat/>
    <w:locked/>
    <w:uiPriority w:val="99"/>
    <w:rPr>
      <w:rFonts w:ascii="Calibri" w:hAnsi="Calibri" w:eastAsia="宋体" w:cs="Calibri"/>
      <w:sz w:val="21"/>
      <w:szCs w:val="21"/>
    </w:rPr>
  </w:style>
  <w:style w:type="character" w:customStyle="1" w:styleId="11">
    <w:name w:val="批注框文本 字符"/>
    <w:link w:val="4"/>
    <w:semiHidden/>
    <w:qFormat/>
    <w:locked/>
    <w:uiPriority w:val="99"/>
    <w:rPr>
      <w:rFonts w:ascii="Calibri" w:hAnsi="Calibri" w:eastAsia="宋体" w:cs="Calibri"/>
      <w:kern w:val="2"/>
      <w:sz w:val="18"/>
      <w:szCs w:val="18"/>
    </w:rPr>
  </w:style>
  <w:style w:type="character" w:customStyle="1" w:styleId="12">
    <w:name w:val="页脚 字符"/>
    <w:link w:val="5"/>
    <w:qFormat/>
    <w:locked/>
    <w:uiPriority w:val="99"/>
    <w:rPr>
      <w:sz w:val="18"/>
      <w:szCs w:val="18"/>
    </w:rPr>
  </w:style>
  <w:style w:type="character" w:customStyle="1" w:styleId="13">
    <w:name w:val="页眉 字符"/>
    <w:link w:val="6"/>
    <w:qFormat/>
    <w:locked/>
    <w:uiPriority w:val="99"/>
    <w:rPr>
      <w:sz w:val="18"/>
      <w:szCs w:val="18"/>
    </w:rPr>
  </w:style>
  <w:style w:type="paragraph" w:customStyle="1" w:styleId="14">
    <w:name w:val="Revision"/>
    <w:semiHidden/>
    <w:qFormat/>
    <w:uiPriority w:val="99"/>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804</Words>
  <Characters>975</Characters>
  <Lines>7</Lines>
  <Paragraphs>2</Paragraphs>
  <TotalTime>0</TotalTime>
  <ScaleCrop>false</ScaleCrop>
  <LinksUpToDate>false</LinksUpToDate>
  <CharactersWithSpaces>999</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2023-11-06T09:48:00Z</dcterms:created>
  <dc:creator>lenovo</dc:creator>
  <cp:lastModifiedBy>朱俊戎</cp:lastModifiedBy>
  <dcterms:modified xsi:type="dcterms:W3CDTF">2025-08-04T10:54:28Z</dcterms:modified>
  <dc:title>童鞋产品质量国家监督抽查实施细则</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DCD34273C99E4B9CA44F54E44823AAC7_13</vt:lpwstr>
  </property>
  <property fmtid="{D5CDD505-2E9C-101B-9397-08002B2CF9AE}" pid="4" name="KSOTemplateDocerSaveRecord">
    <vt:lpwstr>eyJoZGlkIjoiYzRhYzA1YjBmNWU1NTk5YTQ5YjBjMTY2MWFlZGEzN2IifQ==</vt:lpwstr>
  </property>
</Properties>
</file>