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eastAsia" w:ascii="Times New Roman" w:hAnsi="Times New Roman" w:eastAsia="仿宋" w:cs="Times New Roman"/>
          <w:b/>
          <w:bCs/>
          <w:color w:val="000000"/>
          <w:sz w:val="44"/>
          <w:szCs w:val="44"/>
          <w:lang w:eastAsia="zh-CN"/>
        </w:rPr>
        <w:t>江西省可降解塑料制品产品质量省级监督抽查实施细则（202</w:t>
      </w:r>
      <w:r>
        <w:rPr>
          <w:rFonts w:hint="default" w:ascii="Times New Roman" w:hAnsi="Times New Roman" w:eastAsia="仿宋" w:cs="Times New Roman"/>
          <w:b/>
          <w:bCs/>
          <w:color w:val="000000"/>
          <w:sz w:val="44"/>
          <w:szCs w:val="44"/>
          <w:lang w:eastAsia="zh-CN"/>
        </w:rPr>
        <w:t>5</w:t>
      </w:r>
      <w:r>
        <w:rPr>
          <w:rFonts w:hint="eastAsia" w:ascii="Times New Roman" w:hAnsi="Times New Roman" w:eastAsia="仿宋" w:cs="Times New Roman"/>
          <w:b/>
          <w:bCs/>
          <w:color w:val="000000"/>
          <w:sz w:val="44"/>
          <w:szCs w:val="44"/>
          <w:lang w:eastAsia="zh-CN"/>
        </w:rPr>
        <w:t>年版）</w:t>
      </w:r>
    </w:p>
    <w:p>
      <w:pPr>
        <w:adjustRightInd w:val="0"/>
        <w:snapToGrid w:val="0"/>
        <w:spacing w:line="594" w:lineRule="exact"/>
        <w:ind w:firstLine="960" w:firstLineChars="300"/>
        <w:jc w:val="center"/>
        <w:rPr>
          <w:rFonts w:hint="default" w:ascii="Times New Roman" w:hAnsi="Times New Roman" w:eastAsia="方正小标宋简体" w:cs="Times New Roman"/>
          <w:color w:val="000000"/>
          <w:sz w:val="32"/>
          <w:szCs w:val="32"/>
          <w:lang w:eastAsia="zh-CN"/>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以随机抽样的方式在被抽样生产者、销售者的待销产品中抽取。</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随机数一般可使用随机数表、随机数骰子或扑克牌等方法产生。</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抽查样品基数满足抽样数量即可。</w:t>
      </w:r>
    </w:p>
    <w:p>
      <w:pPr>
        <w:snapToGrid w:val="0"/>
        <w:spacing w:line="440" w:lineRule="exact"/>
        <w:ind w:firstLine="417" w:firstLineChars="199"/>
        <w:rPr>
          <w:rFonts w:hint="default" w:ascii="Times New Roman" w:hAnsi="Times New Roman" w:cs="Times New Roman"/>
          <w:color w:val="000000"/>
          <w:szCs w:val="21"/>
        </w:rPr>
      </w:pPr>
      <w:r>
        <w:rPr>
          <w:rFonts w:hint="default" w:ascii="Times New Roman" w:hAnsi="Times New Roman" w:cs="Times New Roman"/>
          <w:color w:val="000000"/>
          <w:szCs w:val="21"/>
        </w:rPr>
        <w:t>具体抽样数量:</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生物降解塑料购物袋:每种样品抽样数量为150克加60个，样品分三份独立包装，一份样品为150克（用于生物分解率测试），另外2份分别30个/份（其中一份用检样，一份用于备样）。</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szCs w:val="21"/>
        </w:rPr>
        <w:t>一次性可降解餐饮具:每种样品抽样数量为150克加80个，样品分三份独立包装，一份样品为150克（用于生物分解率测试），另外2份分别40个/份（其中一份用检样，一份用于备样）。</w:t>
      </w:r>
    </w:p>
    <w:p>
      <w:pPr>
        <w:snapToGrid w:val="0"/>
        <w:spacing w:line="440" w:lineRule="exact"/>
        <w:ind w:firstLine="417" w:firstLineChars="199"/>
        <w:rPr>
          <w:rFonts w:hint="default" w:ascii="Times New Roman" w:hAnsi="Times New Roman" w:cs="Times New Roman"/>
          <w:szCs w:val="21"/>
        </w:rPr>
      </w:pPr>
      <w:r>
        <w:rPr>
          <w:rFonts w:hint="default" w:ascii="Times New Roman" w:hAnsi="Times New Roman" w:cs="Times New Roman"/>
          <w:lang w:val="en-US" w:eastAsia="zh-CN"/>
        </w:rPr>
        <w:t>可生物降解</w:t>
      </w:r>
      <w:r>
        <w:rPr>
          <w:rFonts w:hint="default" w:ascii="Times New Roman" w:hAnsi="Times New Roman" w:cs="Times New Roman"/>
        </w:rPr>
        <w:t>吸管</w:t>
      </w:r>
      <w:r>
        <w:rPr>
          <w:rFonts w:hint="default" w:ascii="Times New Roman" w:hAnsi="Times New Roman" w:cs="Times New Roman"/>
          <w:szCs w:val="21"/>
        </w:rPr>
        <w:t>:每种样品抽样数量为150克加200支，样品分三份独立包装，一份样品为150克（用于生物分解率测试），另外2份分别100支/份（其中一份用检样，一份用于备样）。</w:t>
      </w:r>
    </w:p>
    <w:p>
      <w:pPr>
        <w:snapToGrid w:val="0"/>
        <w:spacing w:line="440" w:lineRule="exact"/>
        <w:ind w:firstLine="420" w:firstLineChars="200"/>
        <w:rPr>
          <w:rFonts w:hint="default" w:ascii="Times New Roman" w:hAnsi="Times New Roman" w:cs="Times New Roman"/>
          <w:b/>
          <w:color w:val="000000"/>
          <w:sz w:val="24"/>
          <w:szCs w:val="24"/>
        </w:rPr>
      </w:pPr>
      <w:r>
        <w:rPr>
          <w:rFonts w:hint="default" w:ascii="Times New Roman" w:hAnsi="Times New Roman" w:cs="Times New Roman"/>
          <w:szCs w:val="21"/>
        </w:rPr>
        <w:t>产品抽样数量可根据样品的实际大小，在满足检验的条件下做适当调整。</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jc w:val="lef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2.1 生物降解购物塑料袋</w:t>
      </w:r>
    </w:p>
    <w:p>
      <w:pPr>
        <w:jc w:val="center"/>
        <w:rPr>
          <w:rFonts w:hint="default" w:ascii="Times New Roman" w:hAnsi="Times New Roman" w:cs="Times New Roman"/>
        </w:rPr>
      </w:pPr>
      <w:r>
        <w:rPr>
          <w:rFonts w:hint="default" w:ascii="Times New Roman" w:hAnsi="Times New Roman" w:cs="Times New Roman"/>
        </w:rPr>
        <w:t>表1 生物降解购物塑料袋</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3186"/>
        <w:gridCol w:w="2333"/>
        <w:gridCol w:w="2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检验项目</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eastAsia="zh-CN"/>
              </w:rPr>
              <w:t>检验依据</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1</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感官要求</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2</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总迁移量</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3</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高锰酸钾消耗量</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4</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重金属(以Pb 计)</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5</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脱色试验</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6</w:t>
            </w:r>
          </w:p>
        </w:tc>
        <w:tc>
          <w:tcPr>
            <w:tcW w:w="310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生物降解性能</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val="en-US"/>
              </w:rPr>
              <w:t>GB/T 38082-2019</w:t>
            </w:r>
          </w:p>
        </w:tc>
        <w:tc>
          <w:tcPr>
            <w:tcW w:w="217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GB/T 19277.1-2025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8305" w:type="dxa"/>
            <w:gridSpan w:val="4"/>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sz w:val="15"/>
                <w:szCs w:val="15"/>
              </w:rPr>
            </w:pPr>
            <w:r>
              <w:rPr>
                <w:rFonts w:hint="default" w:ascii="Times New Roman" w:hAnsi="Times New Roman" w:cs="Times New Roman"/>
                <w:sz w:val="15"/>
                <w:szCs w:val="15"/>
              </w:rPr>
              <w:t>注：1.脱色试验仅适用于添加了着色剂的产品。</w:t>
            </w:r>
          </w:p>
          <w:p>
            <w:pPr>
              <w:rPr>
                <w:rFonts w:hint="default" w:ascii="Times New Roman" w:hAnsi="Times New Roman" w:cs="Times New Roman"/>
                <w:bCs/>
              </w:rPr>
            </w:pPr>
            <w:r>
              <w:rPr>
                <w:rFonts w:hint="default" w:ascii="Times New Roman" w:hAnsi="Times New Roman" w:cs="Times New Roman"/>
                <w:sz w:val="15"/>
                <w:szCs w:val="15"/>
              </w:rPr>
              <w:t>2.因为流通领域无法让生产企业确定产品的预期使用情况，故流通领域上抽取的可降解塑料制品产品迁移条件均按照10%乙醇，40℃，2h实验。若可降解塑料制品产品是不直接接触食品的产品，不做食品安全国家标准项目。</w:t>
            </w:r>
          </w:p>
        </w:tc>
      </w:tr>
    </w:tbl>
    <w:p>
      <w:pPr>
        <w:jc w:val="left"/>
        <w:rPr>
          <w:rFonts w:hint="default" w:ascii="Times New Roman" w:hAnsi="Times New Roman" w:cs="Times New Roman"/>
        </w:rPr>
      </w:pPr>
    </w:p>
    <w:p>
      <w:pPr>
        <w:jc w:val="lef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2.2 一次性可降解餐饮具</w:t>
      </w:r>
    </w:p>
    <w:p>
      <w:pPr>
        <w:jc w:val="center"/>
        <w:rPr>
          <w:rFonts w:hint="default" w:ascii="Times New Roman" w:hAnsi="Times New Roman" w:cs="Times New Roman"/>
        </w:rPr>
      </w:pPr>
      <w:r>
        <w:rPr>
          <w:rFonts w:hint="default" w:ascii="Times New Roman" w:hAnsi="Times New Roman" w:cs="Times New Roman"/>
        </w:rPr>
        <w:t>表2 一次性可降解餐饮具</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2948"/>
        <w:gridCol w:w="2457"/>
        <w:gridCol w:w="2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检验项目</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eastAsia="zh-CN"/>
              </w:rPr>
              <w:t>检验依据</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1</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感官要求</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2</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总迁移量</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3</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高锰酸钾消耗量</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4</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重金属(以Pb 计)</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5</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脱色试验</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6</w:t>
            </w:r>
          </w:p>
        </w:tc>
        <w:tc>
          <w:tcPr>
            <w:tcW w:w="28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生物分解率</w:t>
            </w:r>
          </w:p>
        </w:tc>
        <w:tc>
          <w:tcPr>
            <w:tcW w:w="23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18006.3-2020</w:t>
            </w:r>
          </w:p>
        </w:tc>
        <w:tc>
          <w:tcPr>
            <w:tcW w:w="228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lang w:val="en-US" w:eastAsia="zh-CN"/>
              </w:rPr>
              <w:t>GB/T 19277.1-2025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8305" w:type="dxa"/>
            <w:gridSpan w:val="4"/>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sz w:val="15"/>
                <w:szCs w:val="15"/>
              </w:rPr>
            </w:pPr>
            <w:r>
              <w:rPr>
                <w:rFonts w:hint="default" w:ascii="Times New Roman" w:hAnsi="Times New Roman" w:cs="Times New Roman"/>
                <w:sz w:val="15"/>
                <w:szCs w:val="15"/>
              </w:rPr>
              <w:t>注：1.脱色试验仅适用于添加了着色剂的产品。</w:t>
            </w:r>
          </w:p>
          <w:p>
            <w:pPr>
              <w:rPr>
                <w:rFonts w:hint="default" w:ascii="Times New Roman" w:hAnsi="Times New Roman" w:cs="Times New Roman"/>
                <w:bCs/>
              </w:rPr>
            </w:pPr>
            <w:r>
              <w:rPr>
                <w:rFonts w:hint="default" w:ascii="Times New Roman" w:hAnsi="Times New Roman" w:cs="Times New Roman"/>
                <w:sz w:val="15"/>
                <w:szCs w:val="15"/>
              </w:rPr>
              <w:t>2.因为流通领域无法让生产企业确定产品的预期使用情况，故流通领域上抽取的可降解塑料制品产品迁移条件均按照10%乙醇，40℃，2h实验。若可降解塑料制品产品是不直接接触食品的产品，不做食品安全国家标准项目。</w:t>
            </w:r>
          </w:p>
        </w:tc>
      </w:tr>
    </w:tbl>
    <w:p>
      <w:pPr>
        <w:jc w:val="left"/>
        <w:rPr>
          <w:rFonts w:hint="default" w:ascii="Times New Roman" w:hAnsi="Times New Roman" w:cs="Times New Roman"/>
        </w:rPr>
      </w:pPr>
    </w:p>
    <w:p>
      <w:pPr>
        <w:jc w:val="lef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 xml:space="preserve">2.3 </w:t>
      </w:r>
      <w:r>
        <w:rPr>
          <w:rFonts w:hint="default" w:ascii="Times New Roman" w:hAnsi="Times New Roman" w:eastAsia="仿宋" w:cs="Times New Roman"/>
          <w:b/>
          <w:bCs/>
          <w:color w:val="000000"/>
          <w:szCs w:val="21"/>
          <w:lang w:val="en-US" w:eastAsia="zh-CN"/>
        </w:rPr>
        <w:t>可生物降解</w:t>
      </w:r>
      <w:r>
        <w:rPr>
          <w:rFonts w:hint="default" w:ascii="Times New Roman" w:hAnsi="Times New Roman" w:eastAsia="仿宋" w:cs="Times New Roman"/>
          <w:b/>
          <w:bCs/>
          <w:color w:val="000000"/>
          <w:szCs w:val="21"/>
        </w:rPr>
        <w:t>吸管</w:t>
      </w:r>
    </w:p>
    <w:p>
      <w:pPr>
        <w:jc w:val="center"/>
        <w:rPr>
          <w:rFonts w:hint="default" w:ascii="Times New Roman" w:hAnsi="Times New Roman" w:cs="Times New Roman"/>
        </w:rPr>
      </w:pPr>
      <w:r>
        <w:rPr>
          <w:rFonts w:hint="default" w:ascii="Times New Roman" w:hAnsi="Times New Roman" w:cs="Times New Roman"/>
        </w:rPr>
        <w:t xml:space="preserve">表3 </w:t>
      </w:r>
      <w:r>
        <w:rPr>
          <w:rFonts w:hint="default" w:ascii="Times New Roman" w:hAnsi="Times New Roman" w:cs="Times New Roman"/>
          <w:lang w:val="en-US" w:eastAsia="zh-CN"/>
        </w:rPr>
        <w:t>可生物降解</w:t>
      </w:r>
      <w:r>
        <w:rPr>
          <w:rFonts w:hint="default" w:ascii="Times New Roman" w:hAnsi="Times New Roman" w:cs="Times New Roman"/>
        </w:rPr>
        <w:t>吸管</w:t>
      </w:r>
    </w:p>
    <w:p>
      <w:pPr>
        <w:jc w:val="center"/>
        <w:rPr>
          <w:rFonts w:hint="default" w:ascii="Times New Roman" w:hAnsi="Times New Roman" w:cs="Times New Roman"/>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2520"/>
        <w:gridCol w:w="2846"/>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序号</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检验项目</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lang w:eastAsia="zh-CN"/>
              </w:rPr>
              <w:t>检验依据</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1</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感官要求</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2</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总迁移量</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3</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高锰酸钾消耗量</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4</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重金属(以Pb 计)</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5</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脱色试验</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 4806.7-2023</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lang w:eastAsia="zh-CN"/>
              </w:rPr>
            </w:pPr>
            <w:r>
              <w:rPr>
                <w:rFonts w:hint="default" w:ascii="Times New Roman" w:hAnsi="Times New Roman" w:cs="Times New Roman"/>
                <w:lang w:val="en-US" w:eastAsia="zh-CN"/>
              </w:rPr>
              <w:t>6</w:t>
            </w:r>
          </w:p>
        </w:tc>
        <w:tc>
          <w:tcPr>
            <w:tcW w:w="245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rPr>
            </w:pPr>
            <w:r>
              <w:rPr>
                <w:rFonts w:hint="default" w:ascii="Times New Roman" w:hAnsi="Times New Roman" w:cs="Times New Roman"/>
              </w:rPr>
              <w:t>降解性能/生物</w:t>
            </w:r>
            <w:r>
              <w:rPr>
                <w:rFonts w:hint="eastAsia" w:ascii="Times New Roman" w:hAnsi="Times New Roman" w:cs="Times New Roman"/>
                <w:lang w:val="en-US" w:eastAsia="zh-CN"/>
              </w:rPr>
              <w:t>降解</w:t>
            </w:r>
            <w:r>
              <w:rPr>
                <w:rFonts w:hint="default" w:ascii="Times New Roman" w:hAnsi="Times New Roman" w:cs="Times New Roman"/>
              </w:rPr>
              <w:t>率</w:t>
            </w:r>
          </w:p>
        </w:tc>
        <w:tc>
          <w:tcPr>
            <w:tcW w:w="277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QB/T 4633-2014</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41008-2021</w:t>
            </w:r>
          </w:p>
          <w:p>
            <w:pPr>
              <w:pStyle w:val="5"/>
              <w:rPr>
                <w:rFonts w:hint="default"/>
                <w:lang w:val="en-US" w:eastAsia="zh-CN"/>
              </w:rPr>
            </w:pPr>
            <w:r>
              <w:rPr>
                <w:rFonts w:hint="eastAsia" w:ascii="Times New Roman" w:hAnsi="Times New Roman" w:cs="Times New Roman"/>
                <w:b w:val="0"/>
                <w:bCs w:val="0"/>
                <w:i w:val="0"/>
                <w:iCs w:val="0"/>
                <w:color w:val="auto"/>
                <w:kern w:val="2"/>
                <w:sz w:val="21"/>
                <w:szCs w:val="21"/>
                <w:highlight w:val="none"/>
                <w:vertAlign w:val="baseline"/>
                <w:lang w:val="en-US" w:eastAsia="zh-CN" w:bidi="ar-SA"/>
              </w:rPr>
              <w:t>产品明示要求</w:t>
            </w:r>
          </w:p>
        </w:tc>
        <w:tc>
          <w:tcPr>
            <w:tcW w:w="23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20197-2006</w:t>
            </w:r>
          </w:p>
          <w:p>
            <w:pPr>
              <w:jc w:val="cente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pPr>
            <w:r>
              <w:rPr>
                <w:rFonts w:hint="default" w:ascii="Times New Roman" w:hAnsi="Times New Roman" w:eastAsia="宋体" w:cs="Times New Roman"/>
                <w:b w:val="0"/>
                <w:bCs w:val="0"/>
                <w:i w:val="0"/>
                <w:iCs w:val="0"/>
                <w:color w:val="auto"/>
                <w:kern w:val="2"/>
                <w:sz w:val="21"/>
                <w:szCs w:val="21"/>
                <w:highlight w:val="none"/>
                <w:vertAlign w:val="baseline"/>
                <w:lang w:val="en-US" w:eastAsia="zh-CN" w:bidi="ar-SA"/>
              </w:rPr>
              <w:t>GB/T 19277.1-2025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8305" w:type="dxa"/>
            <w:gridSpan w:val="4"/>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cs="Times New Roman"/>
                <w:sz w:val="15"/>
                <w:szCs w:val="15"/>
              </w:rPr>
            </w:pPr>
            <w:r>
              <w:rPr>
                <w:rFonts w:hint="default" w:ascii="Times New Roman" w:hAnsi="Times New Roman" w:cs="Times New Roman"/>
                <w:sz w:val="15"/>
                <w:szCs w:val="15"/>
              </w:rPr>
              <w:t>注：1.脱色试验仅适用于添加了着色剂的产品。</w:t>
            </w:r>
          </w:p>
          <w:p>
            <w:pPr>
              <w:rPr>
                <w:rFonts w:hint="default" w:ascii="Times New Roman" w:hAnsi="Times New Roman" w:cs="Times New Roman"/>
                <w:bCs/>
              </w:rPr>
            </w:pPr>
            <w:r>
              <w:rPr>
                <w:rFonts w:hint="default" w:ascii="Times New Roman" w:hAnsi="Times New Roman" w:cs="Times New Roman"/>
                <w:sz w:val="15"/>
                <w:szCs w:val="15"/>
              </w:rPr>
              <w:t>2.因为流通领域无法让生产企业确定产品的预期使用情况，故流通领域上抽取的可降解塑料制品产品迁移条件均按照10%乙醇，40℃，2h实验。若可降解塑料制品产品是不直接接触食品的产品，不做食品安全国家标准项目。</w:t>
            </w:r>
          </w:p>
        </w:tc>
      </w:tr>
    </w:tbl>
    <w:p>
      <w:pPr>
        <w:adjustRightInd w:val="0"/>
        <w:snapToGrid w:val="0"/>
        <w:spacing w:line="440" w:lineRule="exact"/>
        <w:ind w:firstLine="411" w:firstLineChars="196"/>
        <w:rPr>
          <w:rFonts w:hint="default" w:ascii="Times New Roman" w:hAnsi="Times New Roman" w:cs="Times New Roman"/>
          <w:color w:val="000000"/>
          <w:szCs w:val="21"/>
        </w:rPr>
      </w:pPr>
      <w:r>
        <w:rPr>
          <w:rFonts w:hint="default" w:ascii="Times New Roman" w:hAnsi="Times New Roman" w:cs="Times New Roman"/>
          <w:color w:val="000000"/>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凡是注日期的文件，其随后所有的修改单（不包括勘误的内容）或修订版不适用于本细则。凡是不注日期的文件，其最新版本适用于本细则。</w:t>
      </w:r>
    </w:p>
    <w:p>
      <w:pPr>
        <w:spacing w:before="156" w:beforeLines="50" w:line="360" w:lineRule="auto"/>
        <w:rPr>
          <w:rFonts w:hint="default" w:ascii="Times New Roman" w:hAnsi="Times New Roman" w:eastAsia="仿宋" w:cs="Times New Roman"/>
          <w:b/>
          <w:sz w:val="24"/>
          <w:szCs w:val="24"/>
        </w:rPr>
      </w:pPr>
      <w:bookmarkStart w:id="0" w:name="_GoBack"/>
      <w:r>
        <w:rPr>
          <w:rFonts w:hint="default" w:ascii="Times New Roman" w:hAnsi="Times New Roman" w:eastAsia="仿宋" w:cs="Times New Roman"/>
          <w:b/>
          <w:sz w:val="24"/>
          <w:szCs w:val="24"/>
        </w:rPr>
        <w:t>3 判定规则</w:t>
      </w:r>
    </w:p>
    <w:bookmarkEnd w:id="0"/>
    <w:p>
      <w:pPr>
        <w:jc w:val="lef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18006.3-2020《一次性可降解餐饮具通用技术要求》</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QB/T 4633-2014 《聚乳酸冷饮吸管》</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41008-2021《生物降解饮用吸管》</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38082-2019 《生物降解塑料购物袋》</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4806.7-2023  《食品安全国家标准 食品接触用塑料材料及制品》</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现行有效的企业标准、团体标准、地方标准及产品明示质量要求</w:t>
      </w:r>
    </w:p>
    <w:p>
      <w:pPr>
        <w:jc w:val="lef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00" w:lineRule="exact"/>
        <w:ind w:firstLine="420" w:firstLineChars="200"/>
        <w:rPr>
          <w:rFonts w:hint="default" w:ascii="Times New Roman" w:hAnsi="Times New Roman" w:cs="Times New Roman"/>
        </w:rPr>
      </w:pPr>
      <w:r>
        <w:rPr>
          <w:rFonts w:hint="default" w:ascii="Times New Roman" w:hAnsi="Times New Roman" w:cs="Times New Roman"/>
        </w:rPr>
        <w:t>经检验，检验项目全部合格，判定为被抽查产品所检项目未发现不合格；检验项目中任一项或一项以上不合格，判定为被抽查产品不合格。</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若被检产品明示的质量要求高于本细则中检验项目依据的标准要求时，应按被检产品明示的质量要求判定。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若被检产品明示的质量要求低于或包含本细则中检验项目依据的推荐性标准要求时，应以被检产品明示的质量要求判定。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若被检产品明示的质量要求缺少本细则中检验项目依据的强制性标准要求时，应按照强制性标准要求判定。</w:t>
      </w:r>
    </w:p>
    <w:p>
      <w:pPr>
        <w:snapToGrid w:val="0"/>
        <w:spacing w:line="400" w:lineRule="exact"/>
        <w:ind w:firstLine="417" w:firstLineChars="199"/>
        <w:rPr>
          <w:rFonts w:hint="default" w:ascii="Times New Roman" w:hAnsi="Times New Roman" w:cs="Times New Roman"/>
        </w:rPr>
      </w:pPr>
      <w:r>
        <w:rPr>
          <w:rFonts w:hint="default" w:ascii="Times New Roman" w:hAnsi="Times New Roman" w:cs="Times New Roman"/>
        </w:rPr>
        <w:t>若被检产品明示的质量要求缺少本细则中检验项目依据的推荐性标准要求时，该项目不参与判定。</w:t>
      </w:r>
    </w:p>
    <w:p>
      <w:pPr>
        <w:rPr>
          <w:rFonts w:hint="default" w:ascii="Times New Roman" w:hAnsi="Times New Roman" w:cs="Times New Roman"/>
          <w:b/>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4097" name="文本框 1025"/>
              <wp:cNvGraphicFramePr/>
              <a:graphic xmlns:a="http://schemas.openxmlformats.org/drawingml/2006/main">
                <a:graphicData uri="http://schemas.microsoft.com/office/word/2010/wordprocessingShape">
                  <wps:wsp>
                    <wps:cNvSpPr/>
                    <wps:spPr>
                      <a:xfrm>
                        <a:off x="0" y="0"/>
                        <a:ext cx="58420" cy="139700"/>
                      </a:xfrm>
                      <a:prstGeom prst="rect">
                        <a:avLst/>
                      </a:prstGeom>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vert="horz" wrap="none" lIns="0" tIns="0" rIns="0" bIns="0" anchor="t" upright="true">
                      <a:spAutoFit/>
                    </wps:bodyPr>
                  </wps:wsp>
                </a:graphicData>
              </a:graphic>
            </wp:anchor>
          </w:drawing>
        </mc:Choice>
        <mc:Fallback>
          <w:pict>
            <v:rect id="文本框 1025" o:spid="_x0000_s1026" o:spt="1" style="position:absolute;left:0pt;margin-top:0pt;height:11pt;width:4.6pt;mso-position-horizontal:center;mso-position-horizontal-relative:margin;mso-wrap-style:none;z-index:251659264;mso-width-relative:page;mso-height-relative:page;" filled="f" stroked="f" coordsize="21600,21600" o:gfxdata="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kcZbZdAAAAACAQAADwAAAAAAAAABACAAAAA4AAAA&#10;ZHJzL2Rvd25yZXYueG1sUEsBAhQAFAAAAAgAh07iQPW6VS3AAQAAUwMAAA4AAAAAAAAAAQAgAAAA&#10;NQEAAGRycy9lMm9Eb2MueG1sUEsFBgAAAAAGAAYAWQEAAGc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hYTExOTI3ZGJhYmUxZWY5OTFjNzM4MDYyZGIyZDUifQ=="/>
  </w:docVars>
  <w:rsids>
    <w:rsidRoot w:val="00000000"/>
    <w:rsid w:val="0D033889"/>
    <w:rsid w:val="10622B57"/>
    <w:rsid w:val="121871A7"/>
    <w:rsid w:val="177B02C6"/>
    <w:rsid w:val="1AC9184D"/>
    <w:rsid w:val="2F065979"/>
    <w:rsid w:val="4B764E88"/>
    <w:rsid w:val="5012014A"/>
    <w:rsid w:val="520600E3"/>
    <w:rsid w:val="5A125A5A"/>
    <w:rsid w:val="673449A4"/>
    <w:rsid w:val="6E526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2">
    <w:name w:val="Body Text Indent"/>
    <w:basedOn w:val="1"/>
    <w:next w:val="1"/>
    <w:unhideWhenUsed/>
    <w:qFormat/>
    <w:uiPriority w:val="99"/>
    <w:pPr>
      <w:spacing w:after="120"/>
      <w:ind w:left="420" w:leftChars="200"/>
    </w:pPr>
    <w:rPr>
      <w:rFonts w:ascii="Calibri" w:hAnsi="Calibri"/>
    </w:rPr>
  </w:style>
  <w:style w:type="paragraph" w:styleId="3">
    <w:name w:val="footer"/>
    <w:basedOn w:val="1"/>
    <w:link w:val="9"/>
    <w:qFormat/>
    <w:uiPriority w:val="0"/>
    <w:pPr>
      <w:tabs>
        <w:tab w:val="center" w:pos="4153"/>
        <w:tab w:val="right" w:pos="8306"/>
      </w:tabs>
      <w:snapToGrid w:val="0"/>
      <w:jc w:val="left"/>
    </w:pPr>
    <w:rPr>
      <w:rFonts w:ascii="Calibri" w:hAnsi="Calibri" w:eastAsia="宋体" w:cs="宋体"/>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rFonts w:ascii="Calibri" w:hAnsi="Calibri" w:eastAsia="宋体" w:cs="宋体"/>
      <w:sz w:val="18"/>
      <w:szCs w:val="18"/>
    </w:rPr>
  </w:style>
  <w:style w:type="paragraph" w:styleId="5">
    <w:name w:val="Body Text First Indent 2"/>
    <w:basedOn w:val="2"/>
    <w:qFormat/>
    <w:uiPriority w:val="99"/>
    <w:pPr>
      <w:ind w:firstLine="420" w:firstLineChars="200"/>
    </w:p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1559</Words>
  <Characters>2121</Characters>
  <Paragraphs>162</Paragraphs>
  <TotalTime>1</TotalTime>
  <ScaleCrop>false</ScaleCrop>
  <LinksUpToDate>false</LinksUpToDate>
  <CharactersWithSpaces>2182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2025-02-26T10:44:00Z</dcterms:created>
  <dc:creator>潘孝伟</dc:creator>
  <cp:lastModifiedBy>朱俊戎</cp:lastModifiedBy>
  <dcterms:modified xsi:type="dcterms:W3CDTF">2025-08-04T10:57:52Z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90C84AC394924F1080AED00BE4D8856D_13</vt:lpwstr>
  </property>
  <property fmtid="{D5CDD505-2E9C-101B-9397-08002B2CF9AE}" pid="4" name="KSOTemplateDocerSaveRecord">
    <vt:lpwstr>eyJoZGlkIjoiYzdhN2UxYTZmNjI0OTRiNTUxMjIzMjMxYWNkMTAzNDYiLCJ1c2VySWQiOiI1NTk3MjgxNDAifQ==</vt:lpwstr>
  </property>
</Properties>
</file>