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江西省燃气表产品质量省级监督抽查</w:t>
      </w:r>
    </w:p>
    <w:p>
      <w:pPr>
        <w:spacing w:after="0"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实施细则（2025年版）</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1" w:firstLineChars="200"/>
        <w:jc w:val="both"/>
        <w:textAlignment w:val="auto"/>
        <w:rPr>
          <w:rFonts w:hint="default" w:ascii="Times New Roman" w:hAnsi="Times New Roman" w:eastAsia="宋体" w:cs="Times New Roman"/>
          <w:b/>
          <w:color w:val="333333"/>
          <w:sz w:val="21"/>
          <w:szCs w:val="21"/>
          <w:shd w:val="clear" w:color="auto" w:fill="FFFFFF"/>
        </w:rPr>
      </w:pPr>
    </w:p>
    <w:p>
      <w:pPr>
        <w:spacing w:before="156" w:beforeLines="50" w:after="0" w:line="360" w:lineRule="auto"/>
        <w:rPr>
          <w:rFonts w:hint="default" w:ascii="Times New Roman" w:hAnsi="Times New Roman" w:eastAsia="仿宋" w:cs="Times New Roman"/>
          <w:b/>
          <w:sz w:val="24"/>
          <w:szCs w:val="24"/>
        </w:rPr>
      </w:pPr>
      <w:bookmarkStart w:id="0" w:name="OLE_LINK1"/>
      <w:r>
        <w:rPr>
          <w:rFonts w:hint="default" w:ascii="Times New Roman" w:hAnsi="Times New Roman" w:eastAsia="仿宋" w:cs="Times New Roman"/>
          <w:b/>
          <w:sz w:val="24"/>
          <w:szCs w:val="24"/>
        </w:rPr>
        <w:t>1.抽样方法</w:t>
      </w:r>
    </w:p>
    <w:p>
      <w:pPr>
        <w:snapToGrid w:val="0"/>
        <w:spacing w:after="0" w:line="440" w:lineRule="exact"/>
        <w:rPr>
          <w:rFonts w:hint="default" w:ascii="Times New Roman" w:hAnsi="Times New Roman" w:eastAsia="仿宋" w:cs="Times New Roman"/>
          <w:b/>
          <w:bCs/>
          <w:color w:val="000000"/>
          <w:szCs w:val="21"/>
        </w:rPr>
      </w:pPr>
      <w:r>
        <w:rPr>
          <w:rFonts w:hint="eastAsia" w:ascii="Times New Roman" w:hAnsi="Times New Roman" w:eastAsia="仿宋" w:cs="Times New Roman"/>
          <w:b/>
          <w:bCs/>
          <w:color w:val="000000"/>
          <w:szCs w:val="21"/>
          <w:lang w:val="en-US" w:eastAsia="zh-CN"/>
        </w:rPr>
        <w:t>1</w:t>
      </w:r>
      <w:r>
        <w:rPr>
          <w:rFonts w:hint="default" w:ascii="Times New Roman" w:hAnsi="Times New Roman" w:eastAsia="仿宋" w:cs="Times New Roman"/>
          <w:b/>
          <w:bCs/>
          <w:color w:val="000000"/>
          <w:szCs w:val="21"/>
        </w:rPr>
        <w:t>.1抽样要求</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rPr>
      </w:pPr>
      <w:r>
        <w:rPr>
          <w:rFonts w:hint="default" w:ascii="Times New Roman" w:hAnsi="Times New Roman" w:eastAsia="宋体" w:cs="Times New Roman"/>
          <w:color w:val="333333"/>
          <w:sz w:val="21"/>
          <w:szCs w:val="21"/>
          <w:shd w:val="clear" w:color="auto" w:fill="FFFFFF"/>
        </w:rPr>
        <w:t>所抽样品为市场上已销售并且标明合格的产品。要求经销单位或者运营商提供购买合同、进货发票及营业执照，并加以记录。</w:t>
      </w:r>
    </w:p>
    <w:p>
      <w:pPr>
        <w:snapToGrid w:val="0"/>
        <w:spacing w:after="0" w:line="440" w:lineRule="exact"/>
        <w:rPr>
          <w:rFonts w:hint="default" w:ascii="Times New Roman" w:hAnsi="Times New Roman" w:eastAsia="仿宋" w:cs="Times New Roman"/>
          <w:b/>
          <w:bCs/>
          <w:color w:val="000000"/>
          <w:szCs w:val="21"/>
          <w:lang w:val="en-US" w:eastAsia="zh-CN"/>
        </w:rPr>
      </w:pPr>
      <w:r>
        <w:rPr>
          <w:rFonts w:hint="eastAsia" w:ascii="Times New Roman" w:hAnsi="Times New Roman" w:eastAsia="仿宋" w:cs="Times New Roman"/>
          <w:b/>
          <w:bCs/>
          <w:color w:val="000000"/>
          <w:szCs w:val="21"/>
          <w:lang w:val="en-US" w:eastAsia="zh-CN"/>
        </w:rPr>
        <w:t>1</w:t>
      </w:r>
      <w:r>
        <w:rPr>
          <w:rFonts w:hint="default" w:ascii="Times New Roman" w:hAnsi="Times New Roman" w:eastAsia="仿宋" w:cs="Times New Roman"/>
          <w:b/>
          <w:bCs/>
          <w:color w:val="000000"/>
          <w:szCs w:val="21"/>
          <w:lang w:val="en-US" w:eastAsia="zh-CN"/>
        </w:rPr>
        <w:t>.2抽样数量</w:t>
      </w:r>
    </w:p>
    <w:p>
      <w:pPr>
        <w:keepNext w:val="0"/>
        <w:keepLines w:val="0"/>
        <w:pageBreakBefore w:val="0"/>
        <w:kinsoku/>
        <w:wordWrap/>
        <w:overflowPunct/>
        <w:topLinePunct w:val="0"/>
        <w:autoSpaceDE/>
        <w:autoSpaceDN/>
        <w:bidi w:val="0"/>
        <w:adjustRightInd/>
        <w:snapToGrid/>
        <w:spacing w:after="0" w:line="360" w:lineRule="auto"/>
        <w:ind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抽样数量见下表：</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2589"/>
        <w:gridCol w:w="2591"/>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编号</w:t>
            </w:r>
          </w:p>
        </w:tc>
        <w:tc>
          <w:tcPr>
            <w:tcW w:w="15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产品名称</w:t>
            </w:r>
          </w:p>
        </w:tc>
        <w:tc>
          <w:tcPr>
            <w:tcW w:w="152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标准依据</w:t>
            </w:r>
          </w:p>
        </w:tc>
        <w:tc>
          <w:tcPr>
            <w:tcW w:w="152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1</w:t>
            </w:r>
          </w:p>
        </w:tc>
        <w:tc>
          <w:tcPr>
            <w:tcW w:w="151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膜式燃气表</w:t>
            </w:r>
          </w:p>
        </w:tc>
        <w:tc>
          <w:tcPr>
            <w:tcW w:w="152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GB/T 6968-2019</w:t>
            </w:r>
          </w:p>
        </w:tc>
        <w:tc>
          <w:tcPr>
            <w:tcW w:w="1521"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cs="Times New Roman"/>
                <w:szCs w:val="21"/>
              </w:rPr>
            </w:pPr>
            <w:r>
              <w:rPr>
                <w:rFonts w:hint="default" w:ascii="Times New Roman" w:hAnsi="Times New Roman" w:cs="Times New Roman"/>
                <w:szCs w:val="21"/>
              </w:rPr>
              <w:t>6台（其中3台为备份样）</w:t>
            </w: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注：在本细则的规定中，检验机构在检验过程中对检验结果进行复验所采用的样品，应是抽取的检验样品，不能采用备用样品。备用样品仅是指被抽查企业或者经过确认了样品的生产企业对检验结果提出异议，需要对不合格项目进行复检时，采用的备用样品。</w:t>
      </w:r>
    </w:p>
    <w:p>
      <w:pPr>
        <w:spacing w:before="156" w:beforeLines="50" w:after="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2.检验依据</w:t>
      </w:r>
    </w:p>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cs="Times New Roman"/>
          <w:sz w:val="24"/>
        </w:rPr>
      </w:pPr>
      <w:r>
        <w:rPr>
          <w:rFonts w:hint="default" w:ascii="Times New Roman" w:hAnsi="Times New Roman" w:cs="Times New Roman"/>
          <w:szCs w:val="21"/>
        </w:rPr>
        <w:t>膜式燃气表检验项目、依据及方法</w:t>
      </w:r>
    </w:p>
    <w:tbl>
      <w:tblPr>
        <w:tblStyle w:val="6"/>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81"/>
        <w:gridCol w:w="1342"/>
        <w:gridCol w:w="1572"/>
        <w:gridCol w:w="1047"/>
        <w:gridCol w:w="1782"/>
        <w:gridCol w:w="697"/>
        <w:gridCol w:w="697"/>
        <w:gridCol w:w="7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787"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922"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依据法律法规或标准条款</w:t>
            </w:r>
          </w:p>
        </w:tc>
        <w:tc>
          <w:tcPr>
            <w:tcW w:w="614"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强制性/推荐性</w:t>
            </w:r>
          </w:p>
        </w:tc>
        <w:tc>
          <w:tcPr>
            <w:tcW w:w="1045" w:type="pct"/>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c>
          <w:tcPr>
            <w:tcW w:w="1229" w:type="pct"/>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重要程度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787"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922"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614"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045"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A类</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B类</w:t>
            </w:r>
          </w:p>
        </w:tc>
        <w:tc>
          <w:tcPr>
            <w:tcW w:w="41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78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示值误差</w:t>
            </w:r>
          </w:p>
        </w:tc>
        <w:tc>
          <w:tcPr>
            <w:tcW w:w="92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5.1.1</w:t>
            </w:r>
          </w:p>
        </w:tc>
        <w:tc>
          <w:tcPr>
            <w:tcW w:w="61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GB/T 6968-2019 </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78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压力损失</w:t>
            </w:r>
          </w:p>
        </w:tc>
        <w:tc>
          <w:tcPr>
            <w:tcW w:w="92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5.1.2</w:t>
            </w:r>
          </w:p>
        </w:tc>
        <w:tc>
          <w:tcPr>
            <w:tcW w:w="61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78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过载流量</w:t>
            </w:r>
          </w:p>
        </w:tc>
        <w:tc>
          <w:tcPr>
            <w:tcW w:w="92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5.1.4</w:t>
            </w:r>
          </w:p>
        </w:tc>
        <w:tc>
          <w:tcPr>
            <w:tcW w:w="61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tblHeader/>
          <w:jc w:val="center"/>
        </w:trPr>
        <w:tc>
          <w:tcPr>
            <w:tcW w:w="4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78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密封性</w:t>
            </w:r>
          </w:p>
        </w:tc>
        <w:tc>
          <w:tcPr>
            <w:tcW w:w="92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5.2.1</w:t>
            </w:r>
          </w:p>
        </w:tc>
        <w:tc>
          <w:tcPr>
            <w:tcW w:w="61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推荐性</w:t>
            </w:r>
          </w:p>
        </w:tc>
        <w:tc>
          <w:tcPr>
            <w:tcW w:w="104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6968-2019</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p>
        </w:tc>
        <w:tc>
          <w:tcPr>
            <w:tcW w:w="40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41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bl>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检验方法包括相关产品标准及试验方法标准。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凡是标注日期的文件，其随后所有的修改单（不包括勘误的内容）或修订版不适用于本细则。凡是不注日期的文件，其最新版本适用于本细则。</w:t>
      </w:r>
    </w:p>
    <w:p>
      <w:pPr>
        <w:spacing w:before="156" w:beforeLines="50" w:after="0" w:line="360" w:lineRule="auto"/>
        <w:rPr>
          <w:rFonts w:hint="default" w:ascii="Times New Roman" w:hAnsi="Times New Roman" w:eastAsia="仿宋" w:cs="Times New Roman"/>
          <w:b/>
          <w:sz w:val="24"/>
          <w:szCs w:val="24"/>
        </w:rPr>
      </w:pPr>
      <w:bookmarkStart w:id="1" w:name="_GoBack"/>
      <w:r>
        <w:rPr>
          <w:rFonts w:hint="default" w:ascii="Times New Roman" w:hAnsi="Times New Roman" w:eastAsia="仿宋" w:cs="Times New Roman"/>
          <w:b/>
          <w:sz w:val="24"/>
          <w:szCs w:val="24"/>
        </w:rPr>
        <w:t>3.判定规则</w:t>
      </w:r>
    </w:p>
    <w:bookmarkEnd w:id="1"/>
    <w:p>
      <w:pPr>
        <w:snapToGrid w:val="0"/>
        <w:spacing w:after="0"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3.1依据标准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GB/T 6968-2019</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经备案现行有效的企业标准及产品明示质量要求。</w:t>
      </w:r>
    </w:p>
    <w:p>
      <w:pPr>
        <w:snapToGrid w:val="0"/>
        <w:spacing w:after="0"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3.2判定原则</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经检验，检验项目全部合格，判定为被抽查产品所检项目未发现不合格；检验项目中任一项或一项以上不合格，判定为被抽查产品不合格。</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若被检产品明示的质量要求高于本细则中检验项目依据的标准要求时，应按被检产品明示的质量要求判定。</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若被检产品明示的质量要求低于本细则中检验项目依据的强制性标准要求时，应按照强制性标准要求判定。</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若被检产品明示的质量要求低于或包含本细则中检验项目依据的推荐性标准要求时，应以被检产品明示的质量要求判定，但应在检验报告备注中进行说明。</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若被检产品明示的质量要求缺少本细则中检验项目依据的强制性标准要求时，应按照强制性标准要求判定。</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r>
        <w:rPr>
          <w:rFonts w:hint="default" w:ascii="Times New Roman" w:hAnsi="Times New Roman" w:eastAsia="宋体" w:cs="Times New Roman"/>
          <w:color w:val="333333"/>
          <w:sz w:val="21"/>
          <w:szCs w:val="21"/>
          <w:shd w:val="clear" w:color="auto" w:fill="FFFFFF"/>
        </w:rPr>
        <w:t>若被检产品明示的质量要求缺少本细则中检验项目依据的推荐性标准要求时，该项目不参与判定，但应在检验报告备注中进行说明。</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p>
    <w:bookmarkEnd w:id="0"/>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default" w:ascii="Times New Roman" w:hAnsi="Times New Roman" w:eastAsia="宋体" w:cs="Times New Roman"/>
          <w:color w:val="333333"/>
          <w:sz w:val="21"/>
          <w:szCs w:val="21"/>
          <w:shd w:val="clear" w:color="auto" w:fill="FFFFFF"/>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华文仿宋"/>
    <w:panose1 w:val="02010600030101010101"/>
    <w:charset w:val="86"/>
    <w:family w:val="auto"/>
    <w:pitch w:val="default"/>
    <w:sig w:usb0="00000000" w:usb1="00000000" w:usb2="00000016" w:usb3="00000000" w:csb0="0004000F" w:csb1="00000000"/>
  </w:font>
  <w:font w:name="Wingdings 3">
    <w:panose1 w:val="050401020108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7A35"/>
    <w:rsid w:val="00027514"/>
    <w:rsid w:val="000326D7"/>
    <w:rsid w:val="000526D3"/>
    <w:rsid w:val="0005478E"/>
    <w:rsid w:val="000765E0"/>
    <w:rsid w:val="00105E6D"/>
    <w:rsid w:val="00130073"/>
    <w:rsid w:val="00154668"/>
    <w:rsid w:val="001547EC"/>
    <w:rsid w:val="00172A27"/>
    <w:rsid w:val="001C499E"/>
    <w:rsid w:val="001C70E9"/>
    <w:rsid w:val="001E7290"/>
    <w:rsid w:val="003506C8"/>
    <w:rsid w:val="003A7076"/>
    <w:rsid w:val="003C1125"/>
    <w:rsid w:val="003E60FC"/>
    <w:rsid w:val="00432C4C"/>
    <w:rsid w:val="0047589B"/>
    <w:rsid w:val="00533E60"/>
    <w:rsid w:val="0055101A"/>
    <w:rsid w:val="005A61C3"/>
    <w:rsid w:val="005C191F"/>
    <w:rsid w:val="005E51F1"/>
    <w:rsid w:val="0060128D"/>
    <w:rsid w:val="006C6349"/>
    <w:rsid w:val="0076576F"/>
    <w:rsid w:val="007B0171"/>
    <w:rsid w:val="007C2FD4"/>
    <w:rsid w:val="007E3D01"/>
    <w:rsid w:val="008850A2"/>
    <w:rsid w:val="00916364"/>
    <w:rsid w:val="00917469"/>
    <w:rsid w:val="009746D5"/>
    <w:rsid w:val="009B13A7"/>
    <w:rsid w:val="00A131F9"/>
    <w:rsid w:val="00A96AB5"/>
    <w:rsid w:val="00AB2EEA"/>
    <w:rsid w:val="00B11B16"/>
    <w:rsid w:val="00B1717B"/>
    <w:rsid w:val="00B93AB2"/>
    <w:rsid w:val="00C5277B"/>
    <w:rsid w:val="00D02D05"/>
    <w:rsid w:val="00D1771A"/>
    <w:rsid w:val="00D76CF8"/>
    <w:rsid w:val="00ED0748"/>
    <w:rsid w:val="00F87D1A"/>
    <w:rsid w:val="00FA77D4"/>
    <w:rsid w:val="00FB703B"/>
    <w:rsid w:val="0EC447B6"/>
    <w:rsid w:val="14AA2103"/>
    <w:rsid w:val="426A12D8"/>
    <w:rsid w:val="6BF712B5"/>
    <w:rsid w:val="7A0348C4"/>
    <w:rsid w:val="CF3FD8A5"/>
    <w:rsid w:val="EBFFAF6F"/>
    <w:rsid w:val="FF31CD5B"/>
    <w:rsid w:val="FFD77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iPriority="0" w:name="Table Simple 1"/>
    <w:lsdException w:qFormat="1" w:uiPriority="0" w:name="Table Simple 2"/>
    <w:lsdException w:qFormat="1" w:uiPriority="0" w:name="Table Simple 3"/>
    <w:lsdException w:qFormat="1" w:uiPriority="0" w:name="Table Classic 1"/>
    <w:lsdException w:qFormat="1" w:uiPriority="0" w:name="Table Classic 2"/>
    <w:lsdException w:qFormat="1" w:uiPriority="0" w:name="Table Classic 3"/>
    <w:lsdException w:qFormat="1" w:uiPriority="0" w:name="Table Classic 4"/>
    <w:lsdException w:qFormat="1" w:uiPriority="0" w:name="Table Colorful 1"/>
    <w:lsdException w:qFormat="1" w:uiPriority="0" w:name="Table Colorful 2"/>
    <w:lsdException w:qFormat="1" w:uiPriority="0" w:name="Table Colorful 3"/>
    <w:lsdException w:qFormat="1" w:uiPriority="0" w:name="Table Columns 1"/>
    <w:lsdException w:qFormat="1" w:uiPriority="0" w:name="Table Columns 2"/>
    <w:lsdException w:qFormat="1" w:uiPriority="0" w:name="Table Columns 3"/>
    <w:lsdException w:qFormat="1" w:uiPriority="0" w:name="Table Columns 4"/>
    <w:lsdException w:qFormat="1" w:uiPriority="0" w:name="Table Columns 5"/>
    <w:lsdException w:qFormat="1" w:uiPriority="0" w:name="Table Grid 1"/>
    <w:lsdException w:qFormat="1" w:uiPriority="0" w:name="Table Grid 2"/>
    <w:lsdException w:qFormat="1" w:uiPriority="0" w:name="Table Grid 3"/>
    <w:lsdException w:qFormat="1" w:uiPriority="0" w:name="Table Grid 4"/>
    <w:lsdException w:qFormat="1" w:uiPriority="0" w:name="Table Grid 5"/>
    <w:lsdException w:qFormat="1" w:uiPriority="0" w:name="Table Grid 6"/>
    <w:lsdException w:qFormat="1" w:uiPriority="0" w:name="Table Grid 7"/>
    <w:lsdException w:qFormat="1" w:uiPriority="0" w:name="Table Grid 8"/>
    <w:lsdException w:qFormat="1" w:uiPriority="0" w:name="Table List 1"/>
    <w:lsdException w:qFormat="1" w:uiPriority="0" w:name="Table List 2"/>
    <w:lsdException w:qFormat="1" w:uiPriority="0" w:name="Table List 3"/>
    <w:lsdException w:qFormat="1" w:uiPriority="0" w:name="Table List 4"/>
    <w:lsdException w:qFormat="1" w:uiPriority="0" w:name="Table List 5"/>
    <w:lsdException w:qFormat="1" w:uiPriority="0" w:name="Table List 6"/>
    <w:lsdException w:qFormat="1" w:uiPriority="0" w:name="Table List 7"/>
    <w:lsdException w:qFormat="1" w:uiPriority="0" w:name="Table List 8"/>
    <w:lsdException w:qFormat="1" w:uiPriority="0" w:name="Table 3D effects 1"/>
    <w:lsdException w:qFormat="1" w:uiPriority="0" w:name="Table 3D effects 2"/>
    <w:lsdException w:qFormat="1" w:uiPriority="0" w:name="Table 3D effects 3"/>
    <w:lsdException w:qFormat="1" w:uiPriority="0" w:name="Table Contemporary"/>
    <w:lsdException w:qFormat="1" w:uiPriority="0" w:name="Table Elegant"/>
    <w:lsdException w:qFormat="1" w:uiPriority="0" w:name="Table Professional"/>
    <w:lsdException w:qFormat="1" w:uiPriority="0" w:name="Table Subtle 1"/>
    <w:lsdException w:qFormat="1" w:uiPriority="0" w:name="Table Subtle 2"/>
    <w:lsdException w:qFormat="1" w:uiPriority="0" w:name="Table Web 1"/>
    <w:lsdException w:qFormat="1" w:uiPriority="0" w:name="Table Web 2"/>
    <w:lsdException w:qFormat="1" w:uiPriority="0" w:name="Table Web 3"/>
    <w:lsdException w:qFormat="1" w:unhideWhenUsed="0" w:uiPriority="0" w:semiHidden="0" w:name="Balloon Text"/>
    <w:lsdException w:qFormat="1" w:unhideWhenUsed="0" w:uiPriority="0" w:semiHidden="0" w:name="Table Grid"/>
    <w:lsdException w:qFormat="1"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2">
    <w:name w:val="heading 1"/>
    <w:basedOn w:val="1"/>
    <w:next w:val="1"/>
    <w:unhideWhenUsed/>
    <w:qFormat/>
    <w:uiPriority w:val="0"/>
    <w:pPr>
      <w:spacing w:before="100" w:beforeAutospacing="1" w:after="100" w:afterAutospacing="1"/>
      <w:jc w:val="left"/>
      <w:outlineLvl w:val="0"/>
    </w:pPr>
    <w:rPr>
      <w:rFonts w:hint="eastAsia" w:ascii="宋体" w:hAnsi="宋体"/>
      <w:b/>
      <w:kern w:val="44"/>
      <w:sz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spacing w:before="100" w:beforeAutospacing="1" w:after="100" w:afterAutospacing="1"/>
      <w:jc w:val="left"/>
    </w:pPr>
    <w:rPr>
      <w:kern w:val="0"/>
      <w:sz w:val="24"/>
    </w:rPr>
  </w:style>
  <w:style w:type="character" w:customStyle="1" w:styleId="8">
    <w:name w:val="页眉 字符"/>
    <w:basedOn w:val="7"/>
    <w:link w:val="4"/>
    <w:qFormat/>
    <w:uiPriority w:val="0"/>
    <w:rPr>
      <w:rFonts w:ascii="Calibri" w:hAnsi="Calibri"/>
      <w:kern w:val="2"/>
      <w:sz w:val="18"/>
      <w:szCs w:val="18"/>
    </w:rPr>
  </w:style>
  <w:style w:type="character" w:customStyle="1" w:styleId="9">
    <w:name w:val="页脚 字符"/>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806</Words>
  <Characters>902</Characters>
  <Lines>39</Lines>
  <Paragraphs>45</Paragraphs>
  <TotalTime>6</TotalTime>
  <ScaleCrop>false</ScaleCrop>
  <LinksUpToDate>false</LinksUpToDate>
  <CharactersWithSpaces>909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2024-12-05T03:32:00Z</dcterms:created>
  <dc:creator>test</dc:creator>
  <cp:lastModifiedBy>朱俊戎</cp:lastModifiedBy>
  <dcterms:modified xsi:type="dcterms:W3CDTF">2025-08-04T11:40:41Z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KSOTemplateDocerSaveRecord">
    <vt:lpwstr>eyJoZGlkIjoiY2VlZjY3ODQzYThjYjdkZDYyMTdjNzRlNGQ1NTBhYWEiLCJ1c2VySWQiOiI2Nzk5MDk5NjgifQ==</vt:lpwstr>
  </property>
  <property fmtid="{D5CDD505-2E9C-101B-9397-08002B2CF9AE}" pid="4" name="ICV">
    <vt:lpwstr>892F5AB1C12144729609627B37EA025B_12</vt:lpwstr>
  </property>
</Properties>
</file>